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768E" w14:textId="77777777" w:rsidR="006F7CF8" w:rsidRDefault="006F7CF8" w:rsidP="006F7CF8">
      <w:pPr>
        <w:pStyle w:val="Heading2"/>
        <w:rPr>
          <w:rFonts w:ascii="Times New Roman" w:eastAsia="Times New Roman" w:hAnsi="Times New Roman"/>
          <w:color w:val="E36C0A"/>
          <w:szCs w:val="28"/>
          <w:lang w:val="en-AU"/>
        </w:rPr>
      </w:pPr>
      <w:r>
        <w:rPr>
          <w:rFonts w:eastAsia="Times New Roman"/>
          <w:color w:val="E36C0A"/>
          <w:szCs w:val="28"/>
        </w:rPr>
        <w:t>Women’s Financial Capability Project Knowledge Paper</w:t>
      </w:r>
    </w:p>
    <w:p w14:paraId="50A80A24" w14:textId="7DF7B8D1" w:rsidR="006F7CF8" w:rsidRDefault="006F7CF8" w:rsidP="006F7CF8">
      <w:pPr>
        <w:pStyle w:val="Heading2"/>
        <w:rPr>
          <w:rFonts w:eastAsia="Times New Roman"/>
          <w:color w:val="E36C0A"/>
          <w:sz w:val="24"/>
          <w:szCs w:val="24"/>
        </w:rPr>
      </w:pPr>
      <w:r>
        <w:rPr>
          <w:rFonts w:eastAsia="Times New Roman"/>
          <w:color w:val="E36C0A"/>
          <w:sz w:val="24"/>
          <w:szCs w:val="24"/>
        </w:rPr>
        <w:t>WIRE and Good Shephe</w:t>
      </w:r>
      <w:r>
        <w:rPr>
          <w:rFonts w:eastAsia="Times New Roman"/>
          <w:color w:val="E36C0A"/>
          <w:sz w:val="24"/>
          <w:szCs w:val="24"/>
        </w:rPr>
        <w:t>rd Australian and New Zealand</w:t>
      </w:r>
    </w:p>
    <w:p w14:paraId="237A2DBA" w14:textId="77777777" w:rsidR="006F7CF8" w:rsidRPr="006F7CF8" w:rsidRDefault="006F7CF8" w:rsidP="006F7CF8">
      <w:pPr>
        <w:pStyle w:val="BodyText"/>
      </w:pPr>
    </w:p>
    <w:p w14:paraId="0986ABFB" w14:textId="7433DE8C" w:rsidR="00DE143D" w:rsidRPr="00DE143D" w:rsidRDefault="00DE143D" w:rsidP="00293884">
      <w:pPr>
        <w:pStyle w:val="Heading2"/>
      </w:pPr>
      <w:r>
        <w:t>Contents</w:t>
      </w:r>
    </w:p>
    <w:sdt>
      <w:sdtPr>
        <w:rPr>
          <w:rFonts w:ascii="Quicksand" w:hAnsi="Quicksand"/>
          <w:noProof w:val="0"/>
          <w:color w:val="000000" w:themeColor="text1"/>
        </w:rPr>
        <w:id w:val="259347323"/>
        <w:docPartObj>
          <w:docPartGallery w:val="Table of Contents"/>
          <w:docPartUnique/>
        </w:docPartObj>
      </w:sdtPr>
      <w:sdtEndPr>
        <w:rPr>
          <w:b/>
          <w:bCs/>
          <w:color w:val="auto"/>
        </w:rPr>
      </w:sdtEndPr>
      <w:sdtContent>
        <w:p w14:paraId="115C9D7F" w14:textId="7F8E461B" w:rsidR="00E66F63" w:rsidRPr="00574C14" w:rsidRDefault="00E66F63" w:rsidP="002921A9">
          <w:pPr>
            <w:pStyle w:val="TOC1"/>
            <w:spacing w:before="240"/>
            <w:rPr>
              <w:rFonts w:ascii="Quicksand" w:eastAsiaTheme="minorEastAsia" w:hAnsi="Quicksand" w:cstheme="minorBidi"/>
              <w:color w:val="000000" w:themeColor="text1"/>
              <w:lang w:val="en-AU" w:eastAsia="en-AU"/>
            </w:rPr>
          </w:pPr>
          <w:r w:rsidRPr="00574C14">
            <w:rPr>
              <w:rFonts w:ascii="Quicksand" w:hAnsi="Quicksand"/>
              <w:b/>
              <w:bCs/>
              <w:color w:val="000000" w:themeColor="text1"/>
            </w:rPr>
            <w:fldChar w:fldCharType="begin"/>
          </w:r>
          <w:r w:rsidRPr="00574C14">
            <w:rPr>
              <w:rFonts w:ascii="Quicksand" w:hAnsi="Quicksand"/>
              <w:b/>
              <w:bCs/>
              <w:color w:val="000000" w:themeColor="text1"/>
            </w:rPr>
            <w:instrText xml:space="preserve"> TOC \o "1-3" \h \z \u </w:instrText>
          </w:r>
          <w:r w:rsidRPr="00574C14">
            <w:rPr>
              <w:rFonts w:ascii="Quicksand" w:hAnsi="Quicksand"/>
              <w:b/>
              <w:bCs/>
              <w:color w:val="000000" w:themeColor="text1"/>
            </w:rPr>
            <w:fldChar w:fldCharType="separate"/>
          </w:r>
          <w:hyperlink w:anchor="_Toc33099966" w:history="1">
            <w:r w:rsidRPr="00574C14">
              <w:rPr>
                <w:rStyle w:val="Hyperlink"/>
                <w:rFonts w:ascii="Quicksand" w:hAnsi="Quicksand"/>
                <w:color w:val="000000" w:themeColor="text1"/>
              </w:rPr>
              <w:t>Introduction</w:t>
            </w:r>
            <w:r w:rsidRPr="00574C14">
              <w:rPr>
                <w:rFonts w:ascii="Quicksand" w:hAnsi="Quicksand"/>
                <w:webHidden/>
                <w:color w:val="000000" w:themeColor="text1"/>
              </w:rPr>
              <w:tab/>
            </w:r>
            <w:r w:rsidRPr="00574C14">
              <w:rPr>
                <w:rFonts w:ascii="Quicksand" w:hAnsi="Quicksand"/>
                <w:webHidden/>
                <w:color w:val="000000" w:themeColor="text1"/>
              </w:rPr>
              <w:fldChar w:fldCharType="begin"/>
            </w:r>
            <w:r w:rsidRPr="00574C14">
              <w:rPr>
                <w:rFonts w:ascii="Quicksand" w:hAnsi="Quicksand"/>
                <w:webHidden/>
                <w:color w:val="000000" w:themeColor="text1"/>
              </w:rPr>
              <w:instrText xml:space="preserve"> PAGEREF _Toc33099966 \h </w:instrText>
            </w:r>
            <w:r w:rsidRPr="00574C14">
              <w:rPr>
                <w:rFonts w:ascii="Quicksand" w:hAnsi="Quicksand"/>
                <w:webHidden/>
                <w:color w:val="000000" w:themeColor="text1"/>
              </w:rPr>
            </w:r>
            <w:r w:rsidRPr="00574C14">
              <w:rPr>
                <w:rFonts w:ascii="Quicksand" w:hAnsi="Quicksand"/>
                <w:webHidden/>
                <w:color w:val="000000" w:themeColor="text1"/>
              </w:rPr>
              <w:fldChar w:fldCharType="separate"/>
            </w:r>
            <w:r w:rsidR="006E0804">
              <w:rPr>
                <w:rFonts w:ascii="Quicksand" w:hAnsi="Quicksand"/>
                <w:webHidden/>
                <w:color w:val="000000" w:themeColor="text1"/>
              </w:rPr>
              <w:t>2</w:t>
            </w:r>
            <w:r w:rsidRPr="00574C14">
              <w:rPr>
                <w:rFonts w:ascii="Quicksand" w:hAnsi="Quicksand"/>
                <w:webHidden/>
                <w:color w:val="000000" w:themeColor="text1"/>
              </w:rPr>
              <w:fldChar w:fldCharType="end"/>
            </w:r>
          </w:hyperlink>
        </w:p>
        <w:p w14:paraId="481F82D5" w14:textId="7EA72D9B" w:rsidR="00E66F63" w:rsidRPr="00574C14" w:rsidRDefault="006F7CF8" w:rsidP="002921A9">
          <w:pPr>
            <w:pStyle w:val="TOC1"/>
            <w:spacing w:before="240"/>
            <w:rPr>
              <w:rFonts w:ascii="Quicksand" w:eastAsiaTheme="minorEastAsia" w:hAnsi="Quicksand" w:cstheme="minorBidi"/>
              <w:color w:val="000000" w:themeColor="text1"/>
              <w:lang w:val="en-AU" w:eastAsia="en-AU"/>
            </w:rPr>
          </w:pPr>
          <w:hyperlink w:anchor="_Toc33099970" w:history="1">
            <w:r w:rsidR="00DE143D">
              <w:rPr>
                <w:rStyle w:val="Hyperlink"/>
                <w:rFonts w:ascii="Quicksand" w:hAnsi="Quicksand"/>
                <w:color w:val="000000" w:themeColor="text1"/>
              </w:rPr>
              <w:t>Summary of literature r</w:t>
            </w:r>
            <w:r w:rsidR="00E66F63" w:rsidRPr="00574C14">
              <w:rPr>
                <w:rStyle w:val="Hyperlink"/>
                <w:rFonts w:ascii="Quicksand" w:hAnsi="Quicksand"/>
                <w:color w:val="000000" w:themeColor="text1"/>
              </w:rPr>
              <w:t>eview</w:t>
            </w:r>
            <w:r w:rsidR="00E66F63" w:rsidRPr="00574C14">
              <w:rPr>
                <w:rFonts w:ascii="Quicksand" w:hAnsi="Quicksand"/>
                <w:webHidden/>
                <w:color w:val="000000" w:themeColor="text1"/>
              </w:rPr>
              <w:tab/>
            </w:r>
            <w:r w:rsidR="00A6298E" w:rsidRPr="00574C14">
              <w:rPr>
                <w:rFonts w:ascii="Quicksand" w:hAnsi="Quicksand"/>
                <w:webHidden/>
                <w:color w:val="000000" w:themeColor="text1"/>
              </w:rPr>
              <w:t>5</w:t>
            </w:r>
          </w:hyperlink>
        </w:p>
        <w:p w14:paraId="411D0A0E" w14:textId="711596F0" w:rsidR="00E66F63" w:rsidRPr="00574C14" w:rsidRDefault="006F7CF8" w:rsidP="002921A9">
          <w:pPr>
            <w:pStyle w:val="TOC1"/>
            <w:spacing w:before="240"/>
            <w:rPr>
              <w:rFonts w:ascii="Quicksand" w:eastAsiaTheme="minorEastAsia" w:hAnsi="Quicksand" w:cstheme="minorBidi"/>
              <w:color w:val="000000" w:themeColor="text1"/>
              <w:lang w:val="en-AU" w:eastAsia="en-AU"/>
            </w:rPr>
          </w:pPr>
          <w:hyperlink w:anchor="_Toc33099975" w:history="1">
            <w:r w:rsidR="00DE143D">
              <w:rPr>
                <w:rStyle w:val="Hyperlink"/>
                <w:rFonts w:ascii="Quicksand" w:eastAsia="Times New Roman" w:hAnsi="Quicksand"/>
                <w:color w:val="000000" w:themeColor="text1"/>
              </w:rPr>
              <w:t>Analysis of mapping of existing s</w:t>
            </w:r>
            <w:r w:rsidR="00E66F63" w:rsidRPr="00574C14">
              <w:rPr>
                <w:rStyle w:val="Hyperlink"/>
                <w:rFonts w:ascii="Quicksand" w:eastAsia="Times New Roman" w:hAnsi="Quicksand"/>
                <w:color w:val="000000" w:themeColor="text1"/>
              </w:rPr>
              <w:t>ervices</w:t>
            </w:r>
            <w:r w:rsidR="00E66F63" w:rsidRPr="00574C14">
              <w:rPr>
                <w:rFonts w:ascii="Quicksand" w:hAnsi="Quicksand"/>
                <w:webHidden/>
                <w:color w:val="000000" w:themeColor="text1"/>
              </w:rPr>
              <w:tab/>
            </w:r>
            <w:r w:rsidR="008C0755" w:rsidRPr="00574C14">
              <w:rPr>
                <w:rFonts w:ascii="Quicksand" w:hAnsi="Quicksand"/>
                <w:webHidden/>
                <w:color w:val="000000" w:themeColor="text1"/>
              </w:rPr>
              <w:t>11</w:t>
            </w:r>
          </w:hyperlink>
        </w:p>
        <w:p w14:paraId="12179587" w14:textId="627DB601" w:rsidR="00E66F63" w:rsidRPr="00574C14" w:rsidRDefault="006F7CF8" w:rsidP="002921A9">
          <w:pPr>
            <w:pStyle w:val="TOC1"/>
            <w:spacing w:before="240"/>
            <w:rPr>
              <w:rFonts w:ascii="Quicksand" w:eastAsiaTheme="minorEastAsia" w:hAnsi="Quicksand" w:cstheme="minorBidi"/>
              <w:color w:val="000000" w:themeColor="text1"/>
              <w:lang w:val="en-AU" w:eastAsia="en-AU"/>
            </w:rPr>
          </w:pPr>
          <w:hyperlink w:anchor="_Toc33099976" w:history="1">
            <w:r w:rsidR="002D2C26" w:rsidRPr="00574C14">
              <w:rPr>
                <w:rStyle w:val="Hyperlink"/>
                <w:rFonts w:ascii="Quicksand" w:hAnsi="Quicksand"/>
                <w:color w:val="000000" w:themeColor="text1"/>
              </w:rPr>
              <w:t>Outline of the co-d</w:t>
            </w:r>
            <w:r w:rsidR="00E66F63" w:rsidRPr="00574C14">
              <w:rPr>
                <w:rStyle w:val="Hyperlink"/>
                <w:rFonts w:ascii="Quicksand" w:hAnsi="Quicksand"/>
                <w:color w:val="000000" w:themeColor="text1"/>
              </w:rPr>
              <w:t>esign process</w:t>
            </w:r>
            <w:r w:rsidR="00E66F63" w:rsidRPr="00574C14">
              <w:rPr>
                <w:rFonts w:ascii="Quicksand" w:hAnsi="Quicksand"/>
                <w:webHidden/>
                <w:color w:val="000000" w:themeColor="text1"/>
              </w:rPr>
              <w:tab/>
            </w:r>
            <w:r w:rsidR="00E66F63" w:rsidRPr="00574C14">
              <w:rPr>
                <w:rFonts w:ascii="Quicksand" w:hAnsi="Quicksand"/>
                <w:webHidden/>
                <w:color w:val="000000" w:themeColor="text1"/>
              </w:rPr>
              <w:fldChar w:fldCharType="begin"/>
            </w:r>
            <w:r w:rsidR="00E66F63" w:rsidRPr="00574C14">
              <w:rPr>
                <w:rFonts w:ascii="Quicksand" w:hAnsi="Quicksand"/>
                <w:webHidden/>
                <w:color w:val="000000" w:themeColor="text1"/>
              </w:rPr>
              <w:instrText xml:space="preserve"> PAGEREF _Toc33099976 \h </w:instrText>
            </w:r>
            <w:r w:rsidR="00E66F63" w:rsidRPr="00574C14">
              <w:rPr>
                <w:rFonts w:ascii="Quicksand" w:hAnsi="Quicksand"/>
                <w:webHidden/>
                <w:color w:val="000000" w:themeColor="text1"/>
              </w:rPr>
            </w:r>
            <w:r w:rsidR="00E66F63" w:rsidRPr="00574C14">
              <w:rPr>
                <w:rFonts w:ascii="Quicksand" w:hAnsi="Quicksand"/>
                <w:webHidden/>
                <w:color w:val="000000" w:themeColor="text1"/>
              </w:rPr>
              <w:fldChar w:fldCharType="separate"/>
            </w:r>
            <w:r w:rsidR="006E0804">
              <w:rPr>
                <w:rFonts w:ascii="Quicksand" w:hAnsi="Quicksand"/>
                <w:webHidden/>
                <w:color w:val="000000" w:themeColor="text1"/>
              </w:rPr>
              <w:t>12</w:t>
            </w:r>
            <w:r w:rsidR="00E66F63" w:rsidRPr="00574C14">
              <w:rPr>
                <w:rFonts w:ascii="Quicksand" w:hAnsi="Quicksand"/>
                <w:webHidden/>
                <w:color w:val="000000" w:themeColor="text1"/>
              </w:rPr>
              <w:fldChar w:fldCharType="end"/>
            </w:r>
          </w:hyperlink>
        </w:p>
        <w:p w14:paraId="2DD018BC" w14:textId="4E51FADC" w:rsidR="00E66F63" w:rsidRPr="00574C14" w:rsidRDefault="006F7CF8" w:rsidP="002921A9">
          <w:pPr>
            <w:pStyle w:val="TOC2"/>
            <w:spacing w:before="240"/>
            <w:rPr>
              <w:rFonts w:ascii="Quicksand" w:eastAsiaTheme="minorEastAsia" w:hAnsi="Quicksand" w:cstheme="minorBidi"/>
              <w:color w:val="000000" w:themeColor="text1"/>
              <w:lang w:val="en-AU" w:eastAsia="en-AU"/>
            </w:rPr>
          </w:pPr>
          <w:hyperlink w:anchor="_Toc33099977" w:history="1">
            <w:r w:rsidR="002D2C26" w:rsidRPr="00574C14">
              <w:rPr>
                <w:rStyle w:val="Hyperlink"/>
                <w:rFonts w:ascii="Quicksand" w:hAnsi="Quicksand"/>
                <w:color w:val="000000" w:themeColor="text1"/>
              </w:rPr>
              <w:t>Summary of key learnings from co-d</w:t>
            </w:r>
            <w:r w:rsidR="00E66F63" w:rsidRPr="00574C14">
              <w:rPr>
                <w:rStyle w:val="Hyperlink"/>
                <w:rFonts w:ascii="Quicksand" w:hAnsi="Quicksand"/>
                <w:color w:val="000000" w:themeColor="text1"/>
              </w:rPr>
              <w:t>esign process</w:t>
            </w:r>
            <w:r w:rsidR="00E66F63" w:rsidRPr="00574C14">
              <w:rPr>
                <w:rFonts w:ascii="Quicksand" w:hAnsi="Quicksand"/>
                <w:webHidden/>
                <w:color w:val="000000" w:themeColor="text1"/>
              </w:rPr>
              <w:tab/>
            </w:r>
            <w:r w:rsidR="00E66F63" w:rsidRPr="00574C14">
              <w:rPr>
                <w:rFonts w:ascii="Quicksand" w:hAnsi="Quicksand"/>
                <w:webHidden/>
                <w:color w:val="000000" w:themeColor="text1"/>
              </w:rPr>
              <w:fldChar w:fldCharType="begin"/>
            </w:r>
            <w:r w:rsidR="00E66F63" w:rsidRPr="00574C14">
              <w:rPr>
                <w:rFonts w:ascii="Quicksand" w:hAnsi="Quicksand"/>
                <w:webHidden/>
                <w:color w:val="000000" w:themeColor="text1"/>
              </w:rPr>
              <w:instrText xml:space="preserve"> PAGEREF _Toc33099977 \h </w:instrText>
            </w:r>
            <w:r w:rsidR="00E66F63" w:rsidRPr="00574C14">
              <w:rPr>
                <w:rFonts w:ascii="Quicksand" w:hAnsi="Quicksand"/>
                <w:webHidden/>
                <w:color w:val="000000" w:themeColor="text1"/>
              </w:rPr>
            </w:r>
            <w:r w:rsidR="00E66F63" w:rsidRPr="00574C14">
              <w:rPr>
                <w:rFonts w:ascii="Quicksand" w:hAnsi="Quicksand"/>
                <w:webHidden/>
                <w:color w:val="000000" w:themeColor="text1"/>
              </w:rPr>
              <w:fldChar w:fldCharType="separate"/>
            </w:r>
            <w:r w:rsidR="006E0804">
              <w:rPr>
                <w:rFonts w:ascii="Quicksand" w:hAnsi="Quicksand"/>
                <w:webHidden/>
                <w:color w:val="000000" w:themeColor="text1"/>
              </w:rPr>
              <w:t>14</w:t>
            </w:r>
            <w:r w:rsidR="00E66F63" w:rsidRPr="00574C14">
              <w:rPr>
                <w:rFonts w:ascii="Quicksand" w:hAnsi="Quicksand"/>
                <w:webHidden/>
                <w:color w:val="000000" w:themeColor="text1"/>
              </w:rPr>
              <w:fldChar w:fldCharType="end"/>
            </w:r>
          </w:hyperlink>
        </w:p>
        <w:p w14:paraId="63A6FA23" w14:textId="05546619" w:rsidR="00E66F63" w:rsidRPr="00574C14" w:rsidRDefault="006F7CF8" w:rsidP="002921A9">
          <w:pPr>
            <w:pStyle w:val="TOC1"/>
            <w:spacing w:before="240"/>
            <w:rPr>
              <w:rFonts w:ascii="Quicksand" w:eastAsiaTheme="minorEastAsia" w:hAnsi="Quicksand" w:cstheme="minorBidi"/>
              <w:color w:val="000000" w:themeColor="text1"/>
              <w:lang w:val="en-AU" w:eastAsia="en-AU"/>
            </w:rPr>
          </w:pPr>
          <w:hyperlink w:anchor="_Toc33099980" w:history="1">
            <w:r w:rsidR="00A6298E" w:rsidRPr="00574C14">
              <w:rPr>
                <w:rStyle w:val="Hyperlink"/>
                <w:rFonts w:ascii="Quicksand" w:hAnsi="Quicksand"/>
                <w:color w:val="000000" w:themeColor="text1"/>
              </w:rPr>
              <w:t>Conclusion</w:t>
            </w:r>
            <w:r w:rsidR="00E66F63" w:rsidRPr="00574C14">
              <w:rPr>
                <w:rFonts w:ascii="Quicksand" w:hAnsi="Quicksand"/>
                <w:webHidden/>
                <w:color w:val="000000" w:themeColor="text1"/>
              </w:rPr>
              <w:tab/>
            </w:r>
            <w:r w:rsidR="00574C14" w:rsidRPr="00574C14">
              <w:rPr>
                <w:rFonts w:ascii="Quicksand" w:hAnsi="Quicksand"/>
                <w:webHidden/>
                <w:color w:val="000000" w:themeColor="text1"/>
              </w:rPr>
              <w:t>19</w:t>
            </w:r>
          </w:hyperlink>
        </w:p>
        <w:p w14:paraId="51C2354E" w14:textId="77777777" w:rsidR="002D2C26" w:rsidRPr="00A33729" w:rsidRDefault="00E66F63" w:rsidP="003C575C">
          <w:pPr>
            <w:pStyle w:val="Heading8"/>
            <w:rPr>
              <w:noProof/>
              <w:color w:val="FF0000"/>
            </w:rPr>
          </w:pPr>
          <w:r w:rsidRPr="00574C14">
            <w:rPr>
              <w:noProof/>
              <w:color w:val="000000" w:themeColor="text1"/>
            </w:rPr>
            <w:fldChar w:fldCharType="end"/>
          </w:r>
        </w:p>
        <w:p w14:paraId="379A320D" w14:textId="77777777" w:rsidR="002D2C26" w:rsidRPr="00A33729" w:rsidRDefault="002D2C26" w:rsidP="003C575C">
          <w:pPr>
            <w:pStyle w:val="Heading8"/>
            <w:rPr>
              <w:noProof/>
              <w:color w:val="FF0000"/>
            </w:rPr>
          </w:pPr>
        </w:p>
        <w:p w14:paraId="436E5094" w14:textId="7C1D6346" w:rsidR="00E66F63" w:rsidRDefault="006F7CF8" w:rsidP="002921A9">
          <w:pPr>
            <w:spacing w:before="240"/>
          </w:pPr>
        </w:p>
      </w:sdtContent>
    </w:sdt>
    <w:p w14:paraId="275B504F" w14:textId="77777777" w:rsidR="002C741A" w:rsidRPr="00B72FB3" w:rsidRDefault="002C741A" w:rsidP="002C741A"/>
    <w:p w14:paraId="7524B9DE" w14:textId="77777777" w:rsidR="002C741A" w:rsidRPr="00B72FB3" w:rsidRDefault="002C741A" w:rsidP="002C741A"/>
    <w:p w14:paraId="1CFB6B51" w14:textId="77777777" w:rsidR="002C741A" w:rsidRPr="00B72FB3" w:rsidRDefault="002C741A" w:rsidP="002C741A"/>
    <w:p w14:paraId="7450CB07" w14:textId="5645CB85" w:rsidR="002C741A" w:rsidRPr="00B72FB3" w:rsidRDefault="00A37DB8" w:rsidP="00A37DB8">
      <w:pPr>
        <w:tabs>
          <w:tab w:val="left" w:pos="1214"/>
        </w:tabs>
      </w:pPr>
      <w:r>
        <w:tab/>
      </w:r>
    </w:p>
    <w:p w14:paraId="73688F69" w14:textId="77777777" w:rsidR="002C741A" w:rsidRPr="00B72FB3" w:rsidRDefault="002C741A" w:rsidP="002C741A"/>
    <w:p w14:paraId="170277DA" w14:textId="77777777" w:rsidR="00DE143D" w:rsidRDefault="00DE143D" w:rsidP="00DE143D">
      <w:pPr>
        <w:pStyle w:val="Heading2"/>
      </w:pPr>
      <w:bookmarkStart w:id="0" w:name="_Toc33099966"/>
    </w:p>
    <w:p w14:paraId="2138FF88" w14:textId="77777777" w:rsidR="006F7CF8" w:rsidRPr="006F7CF8" w:rsidRDefault="006F7CF8" w:rsidP="006F7CF8">
      <w:pPr>
        <w:pStyle w:val="BodyText"/>
      </w:pPr>
      <w:bookmarkStart w:id="1" w:name="_GoBack"/>
      <w:bookmarkEnd w:id="1"/>
    </w:p>
    <w:p w14:paraId="05F9A49C" w14:textId="77777777" w:rsidR="00DE143D" w:rsidRDefault="00DE143D" w:rsidP="00DE143D">
      <w:pPr>
        <w:pStyle w:val="Heading2"/>
      </w:pPr>
    </w:p>
    <w:p w14:paraId="76B4C053" w14:textId="77777777" w:rsidR="00DE143D" w:rsidRDefault="00DE143D" w:rsidP="00DE143D">
      <w:pPr>
        <w:pStyle w:val="Heading2"/>
      </w:pPr>
    </w:p>
    <w:p w14:paraId="6E0F9643" w14:textId="3DE34664" w:rsidR="00DE143D" w:rsidRDefault="00B50F25" w:rsidP="00DE143D">
      <w:pPr>
        <w:pStyle w:val="Heading2"/>
      </w:pPr>
      <w:r>
        <w:softHyphen/>
      </w:r>
      <w:r>
        <w:softHyphen/>
      </w:r>
      <w:r>
        <w:softHyphen/>
      </w:r>
      <w:r>
        <w:softHyphen/>
      </w:r>
    </w:p>
    <w:p w14:paraId="0D529A4C" w14:textId="27AE8ACD" w:rsidR="002C741A" w:rsidRPr="00B72FB3" w:rsidRDefault="002C741A" w:rsidP="00DE143D">
      <w:pPr>
        <w:pStyle w:val="Heading2"/>
      </w:pPr>
      <w:r w:rsidRPr="00B72FB3">
        <w:lastRenderedPageBreak/>
        <w:t>Introduction</w:t>
      </w:r>
      <w:bookmarkEnd w:id="0"/>
    </w:p>
    <w:p w14:paraId="62CC6FB3" w14:textId="79416D9F" w:rsidR="00D87F5B" w:rsidRDefault="00D87F5B" w:rsidP="00D87F5B">
      <w:pPr>
        <w:pStyle w:val="BodyText"/>
      </w:pPr>
      <w:bookmarkStart w:id="2" w:name="_Toc33099967"/>
      <w:bookmarkStart w:id="3" w:name="_Toc33099968"/>
      <w:r w:rsidRPr="00DE143D">
        <w:rPr>
          <w:rStyle w:val="Heading3Char"/>
          <w:rFonts w:ascii="Quicksand" w:hAnsi="Quicksand"/>
          <w:color w:val="auto"/>
        </w:rPr>
        <w:t>This knowledge paper</w:t>
      </w:r>
      <w:bookmarkEnd w:id="2"/>
      <w:r w:rsidRPr="00DE143D">
        <w:t xml:space="preserve"> </w:t>
      </w:r>
      <w:r w:rsidRPr="00B72FB3">
        <w:t xml:space="preserve">captures the evidence-base of financial capability building for women, with a specific focus on marginalised groups of women including First Nations women, women with a disability and migrant, refugee and asylum-seeker women. </w:t>
      </w:r>
      <w:r w:rsidRPr="00973E20">
        <w:t xml:space="preserve">It traces the thinking and research behind and through the design process for WIRE and GSANZ’s </w:t>
      </w:r>
      <w:r w:rsidR="006879EF">
        <w:t>Women’s Financial Capabilities</w:t>
      </w:r>
      <w:r w:rsidRPr="00973E20">
        <w:t xml:space="preserve"> Project.</w:t>
      </w:r>
      <w:r>
        <w:t xml:space="preserve"> Importantly, t</w:t>
      </w:r>
      <w:r w:rsidRPr="00B72FB3">
        <w:t>he knowledge paper is an opportunity to highlight the ne</w:t>
      </w:r>
      <w:r>
        <w:t>ed for intersectional, strength</w:t>
      </w:r>
      <w:r w:rsidRPr="00B72FB3">
        <w:t xml:space="preserve">-based and trauma informed approaches to financial capability, along with the importance of co-design with both professional and lived-experience experts. </w:t>
      </w:r>
      <w:r w:rsidRPr="00973E20">
        <w:t xml:space="preserve">It reiterates the need for accessible and culturally appropriate practices and programs that offer multiple entry points and approaches to suit the diverse needs of women </w:t>
      </w:r>
      <w:r w:rsidR="00FC75D7">
        <w:t>at different stages of their</w:t>
      </w:r>
      <w:r w:rsidRPr="00973E20">
        <w:t xml:space="preserve"> financial journey. </w:t>
      </w:r>
    </w:p>
    <w:p w14:paraId="57E604A9" w14:textId="73B3E532" w:rsidR="00D87F5B" w:rsidRDefault="00D87F5B" w:rsidP="00D87F5B">
      <w:pPr>
        <w:pStyle w:val="BodyText"/>
      </w:pPr>
      <w:r w:rsidRPr="006053DE">
        <w:t>This paper focuses less on an in-depth exploration of financial c</w:t>
      </w:r>
      <w:r w:rsidR="00FC75D7">
        <w:t xml:space="preserve">apability definitions (which is </w:t>
      </w:r>
      <w:r w:rsidRPr="006053DE">
        <w:t xml:space="preserve">covered in the </w:t>
      </w:r>
      <w:r w:rsidR="00FC75D7">
        <w:t xml:space="preserve">project </w:t>
      </w:r>
      <w:r w:rsidRPr="006053DE">
        <w:t>Literature Review) an</w:t>
      </w:r>
      <w:r w:rsidR="00FC75D7">
        <w:t>d more on the i</w:t>
      </w:r>
      <w:r w:rsidRPr="006053DE">
        <w:t xml:space="preserve">ntersectional approach needed for this project. Importantly this includes not just a summary of learnings but a summary of issues and solutions as experienced </w:t>
      </w:r>
      <w:r w:rsidR="006A120B">
        <w:t xml:space="preserve">and recommended </w:t>
      </w:r>
      <w:r w:rsidRPr="006053DE">
        <w:t>directly by our co</w:t>
      </w:r>
      <w:r>
        <w:t>-</w:t>
      </w:r>
      <w:r w:rsidR="00FC75D7">
        <w:t>design partners:</w:t>
      </w:r>
      <w:r w:rsidRPr="006053DE">
        <w:t xml:space="preserve"> women with lived experience of intersecting financ</w:t>
      </w:r>
      <w:r w:rsidR="009E5237">
        <w:t>ial barriers and people working</w:t>
      </w:r>
      <w:r w:rsidRPr="006053DE">
        <w:t xml:space="preserve"> across community, financial, academic and government sectors.</w:t>
      </w:r>
      <w:r>
        <w:t xml:space="preserve"> </w:t>
      </w:r>
    </w:p>
    <w:bookmarkEnd w:id="3"/>
    <w:p w14:paraId="156B6C21" w14:textId="38C1212D" w:rsidR="00D87F5B" w:rsidRDefault="00D87F5B" w:rsidP="00D87F5B">
      <w:pPr>
        <w:pStyle w:val="BodyText"/>
      </w:pPr>
      <w:r w:rsidRPr="003E46F4">
        <w:rPr>
          <w:rStyle w:val="Heading3Char"/>
          <w:rFonts w:ascii="Quicksand" w:hAnsi="Quicksand"/>
          <w:color w:val="000000" w:themeColor="text1"/>
        </w:rPr>
        <w:t xml:space="preserve">The </w:t>
      </w:r>
      <w:r w:rsidR="006879EF" w:rsidRPr="003E46F4">
        <w:rPr>
          <w:rStyle w:val="Heading3Char"/>
          <w:rFonts w:ascii="Quicksand" w:hAnsi="Quicksand"/>
          <w:color w:val="000000" w:themeColor="text1"/>
        </w:rPr>
        <w:t>Women’s Financial Capabilities</w:t>
      </w:r>
      <w:r w:rsidRPr="003E46F4">
        <w:rPr>
          <w:rStyle w:val="Heading3Char"/>
          <w:rFonts w:ascii="Quicksand" w:hAnsi="Quicksand"/>
          <w:color w:val="000000" w:themeColor="text1"/>
        </w:rPr>
        <w:t xml:space="preserve"> Project </w:t>
      </w:r>
      <w:r w:rsidRPr="003E46F4">
        <w:rPr>
          <w:b/>
          <w:color w:val="000000" w:themeColor="text1"/>
        </w:rPr>
        <w:t xml:space="preserve">2019-2021 </w:t>
      </w:r>
      <w:r w:rsidRPr="003E46F4">
        <w:rPr>
          <w:rStyle w:val="Heading3Char"/>
          <w:rFonts w:ascii="Quicksand" w:hAnsi="Quicksand"/>
          <w:color w:val="000000" w:themeColor="text1"/>
        </w:rPr>
        <w:t>(</w:t>
      </w:r>
      <w:r w:rsidR="006879EF" w:rsidRPr="003E46F4">
        <w:rPr>
          <w:rStyle w:val="Heading3Char"/>
          <w:rFonts w:ascii="Quicksand" w:hAnsi="Quicksand"/>
          <w:color w:val="000000" w:themeColor="text1"/>
        </w:rPr>
        <w:t>WFCP</w:t>
      </w:r>
      <w:r w:rsidRPr="00B72FB3">
        <w:rPr>
          <w:rStyle w:val="Heading3Char"/>
          <w:rFonts w:ascii="Quicksand" w:hAnsi="Quicksand"/>
        </w:rPr>
        <w:t>)</w:t>
      </w:r>
      <w:r w:rsidRPr="00B72FB3">
        <w:rPr>
          <w:b/>
        </w:rPr>
        <w:t xml:space="preserve"> </w:t>
      </w:r>
      <w:r w:rsidRPr="00B72FB3">
        <w:t xml:space="preserve">aims to improve the financial and economic security and confidence of women across Victoria, with a particular focus on </w:t>
      </w:r>
      <w:r>
        <w:t xml:space="preserve">First Nations women, </w:t>
      </w:r>
      <w:r w:rsidRPr="00B72FB3">
        <w:t xml:space="preserve">women from </w:t>
      </w:r>
      <w:r>
        <w:t>migrant, refugee, and asylum-seeker</w:t>
      </w:r>
      <w:r w:rsidRPr="00B72FB3">
        <w:t xml:space="preserve"> back</w:t>
      </w:r>
      <w:r>
        <w:t xml:space="preserve">grounds and women with disability. </w:t>
      </w:r>
      <w:r w:rsidRPr="00973E20">
        <w:t>The program will identify the intersecting barriers faced by the</w:t>
      </w:r>
      <w:r w:rsidR="00FC75D7">
        <w:t>se</w:t>
      </w:r>
      <w:r w:rsidRPr="00973E20">
        <w:t xml:space="preserve"> communities of women in achieving financial security and economic empowerment, and work to find best practice ways to address these on an individual, community and structural level.</w:t>
      </w:r>
      <w:r>
        <w:t xml:space="preserve"> </w:t>
      </w:r>
    </w:p>
    <w:p w14:paraId="551FF7F1" w14:textId="77777777" w:rsidR="00D87F5B" w:rsidRPr="00B72FB3" w:rsidRDefault="00D87F5B" w:rsidP="00D87F5B">
      <w:pPr>
        <w:pStyle w:val="BodyText"/>
      </w:pPr>
      <w:r w:rsidRPr="00B72FB3">
        <w:t xml:space="preserve">WIRE and GSANZ have developed a program governance model that works collaboratively with stakeholder groups in establishing a co-design methodology, to develop a detailed evidence-based program model, oversee a pilot program and collect data for evaluation. </w:t>
      </w:r>
    </w:p>
    <w:p w14:paraId="4677BD1B" w14:textId="293C631C" w:rsidR="00D87F5B" w:rsidRPr="00B72FB3" w:rsidRDefault="00D87F5B" w:rsidP="00D87F5B">
      <w:pPr>
        <w:pStyle w:val="BodyText"/>
      </w:pPr>
      <w:r>
        <w:t xml:space="preserve">Central to the </w:t>
      </w:r>
      <w:r w:rsidR="006879EF">
        <w:t>WFCP</w:t>
      </w:r>
      <w:r>
        <w:t xml:space="preserve"> is the</w:t>
      </w:r>
      <w:r w:rsidRPr="00B72FB3">
        <w:t xml:space="preserve"> co-design process that gives marginalised communities and individual women a decision-making role </w:t>
      </w:r>
      <w:r>
        <w:t xml:space="preserve">at all stages of the research, design, implementation and evaluation of the project. </w:t>
      </w:r>
      <w:r w:rsidRPr="00973E20">
        <w:t>Lived Experience Advocates represent each of the focus communities on the project governance board and are also involved in the consultati</w:t>
      </w:r>
      <w:r>
        <w:t xml:space="preserve">on and research for the project. </w:t>
      </w:r>
    </w:p>
    <w:p w14:paraId="7A9E8581" w14:textId="582D48DF" w:rsidR="00D87F5B" w:rsidRDefault="00D87F5B" w:rsidP="00D87F5B">
      <w:pPr>
        <w:pStyle w:val="BodyText"/>
      </w:pPr>
      <w:r>
        <w:t xml:space="preserve">The </w:t>
      </w:r>
      <w:r w:rsidR="006879EF">
        <w:t>WFCP</w:t>
      </w:r>
      <w:r>
        <w:t xml:space="preserve"> draws </w:t>
      </w:r>
      <w:r w:rsidRPr="00B72FB3">
        <w:t>on, pilot</w:t>
      </w:r>
      <w:r>
        <w:t>s</w:t>
      </w:r>
      <w:r w:rsidRPr="00B72FB3">
        <w:t xml:space="preserve"> and where possible, refine</w:t>
      </w:r>
      <w:r>
        <w:t>s</w:t>
      </w:r>
      <w:r w:rsidRPr="00B72FB3">
        <w:t xml:space="preserve"> the ‘best of’ the existing products and approaches in the financial capability building arena, which will provide greater reach and impact for transformational change across the sector</w:t>
      </w:r>
      <w:r>
        <w:t xml:space="preserve"> and in women’s lives</w:t>
      </w:r>
      <w:r w:rsidRPr="00B72FB3">
        <w:t>.</w:t>
      </w:r>
    </w:p>
    <w:p w14:paraId="2E7497C1" w14:textId="24AE935E" w:rsidR="00D87F5B" w:rsidRPr="00B72FB3" w:rsidRDefault="00D87F5B" w:rsidP="00D87F5B">
      <w:pPr>
        <w:pStyle w:val="BodyText"/>
      </w:pPr>
      <w:r>
        <w:t xml:space="preserve">For more information </w:t>
      </w:r>
      <w:r w:rsidRPr="00D419ED">
        <w:t xml:space="preserve">about the </w:t>
      </w:r>
      <w:r w:rsidR="006879EF">
        <w:t>WFCP</w:t>
      </w:r>
      <w:r w:rsidRPr="00D419ED">
        <w:t xml:space="preserve"> please contact </w:t>
      </w:r>
      <w:r w:rsidR="00257DC9">
        <w:t xml:space="preserve">the project </w:t>
      </w:r>
      <w:r w:rsidR="00BB334A">
        <w:t xml:space="preserve">manager Catherine Connolly at </w:t>
      </w:r>
      <w:hyperlink r:id="rId8" w:history="1">
        <w:r w:rsidR="00BB334A" w:rsidRPr="00BB334A">
          <w:rPr>
            <w:rStyle w:val="Hyperlink"/>
          </w:rPr>
          <w:t>cconnolly@wire.org.au</w:t>
        </w:r>
      </w:hyperlink>
      <w:r w:rsidR="00BB334A">
        <w:t>.</w:t>
      </w:r>
    </w:p>
    <w:p w14:paraId="3AF2A7E6" w14:textId="4779495B" w:rsidR="00446CFF" w:rsidRDefault="00446CFF" w:rsidP="00446CFF">
      <w:pPr>
        <w:pStyle w:val="BodyText"/>
      </w:pPr>
      <w:bookmarkStart w:id="4" w:name="_Toc33099969"/>
      <w:r w:rsidRPr="00C54F45">
        <w:rPr>
          <w:rStyle w:val="Heading3Char"/>
          <w:rFonts w:ascii="Quicksand" w:hAnsi="Quicksand"/>
          <w:color w:val="auto"/>
        </w:rPr>
        <w:lastRenderedPageBreak/>
        <w:t>Financial capability</w:t>
      </w:r>
      <w:r w:rsidRPr="00C54F45">
        <w:t xml:space="preserve"> </w:t>
      </w:r>
      <w:r w:rsidRPr="0063382C">
        <w:t>is both an individual and a structural idea. It combines a person’s ability to act with their willingness, confidence and opportunity to act.</w:t>
      </w:r>
      <w:r>
        <w:rPr>
          <w:rStyle w:val="FootnoteReference"/>
        </w:rPr>
        <w:footnoteReference w:id="1"/>
      </w:r>
      <w:r w:rsidRPr="0063382C">
        <w:t xml:space="preserve">  </w:t>
      </w:r>
      <w:r>
        <w:t xml:space="preserve">The </w:t>
      </w:r>
      <w:r w:rsidR="006879EF">
        <w:t>WFCP</w:t>
      </w:r>
      <w:r w:rsidRPr="0063382C">
        <w:t xml:space="preserve"> adopts a critical feminist financial capability approach that considers a woman’s individual financial capability as less about incompetence, but always secondary to income inadequa</w:t>
      </w:r>
      <w:r>
        <w:t xml:space="preserve">cy, </w:t>
      </w:r>
      <w:r w:rsidRPr="0063382C">
        <w:t>v</w:t>
      </w:r>
      <w:r>
        <w:t>arying capacities and our context within a patriarchal capitalist society</w:t>
      </w:r>
      <w:r w:rsidRPr="0063382C">
        <w:t>.</w:t>
      </w:r>
      <w:r>
        <w:rPr>
          <w:rStyle w:val="FootnoteReference"/>
        </w:rPr>
        <w:footnoteReference w:id="2"/>
      </w:r>
      <w:r w:rsidRPr="0063382C">
        <w:t xml:space="preserve">  </w:t>
      </w:r>
    </w:p>
    <w:p w14:paraId="0A1FEC4A" w14:textId="5D02E4CB" w:rsidR="00446CFF" w:rsidRDefault="00446CFF" w:rsidP="00446CFF">
      <w:pPr>
        <w:pStyle w:val="BodyText"/>
      </w:pPr>
      <w:r w:rsidRPr="007B02C5">
        <w:t>Women are subject to gendered, intersectional, structural, social and interpersonal factors that create and perpetuate income inadequacy as well as financial inequities and vulnerabilities within relationships, families, workplaces, and the broader economic society. These intervening and often discriminatory factors reduce women’s access to and control of money at various stages along their life course, and include (but are not limited to) family violence, gendered work patterns, the burden of care and unpaid labour, over representation in economically under-valued professions and increasingly precarious employment</w:t>
      </w:r>
      <w:r w:rsidR="00A33729">
        <w:t xml:space="preserve"> in contemporary capitalism</w:t>
      </w:r>
      <w:r w:rsidRPr="007B02C5">
        <w:t>.</w:t>
      </w:r>
      <w:r w:rsidR="001A5869">
        <w:rPr>
          <w:rStyle w:val="FootnoteReference"/>
        </w:rPr>
        <w:footnoteReference w:id="3"/>
      </w:r>
      <w:r w:rsidR="001A5869">
        <w:t xml:space="preserve"> </w:t>
      </w:r>
    </w:p>
    <w:p w14:paraId="05B87C2C" w14:textId="00F42D24" w:rsidR="00446CFF" w:rsidRPr="0063382C" w:rsidRDefault="00446CFF" w:rsidP="00446CFF">
      <w:pPr>
        <w:pStyle w:val="BodyText"/>
      </w:pPr>
      <w:r w:rsidRPr="0063382C">
        <w:t>If financial capability is the</w:t>
      </w:r>
      <w:r w:rsidRPr="0063382C">
        <w:rPr>
          <w:i/>
        </w:rPr>
        <w:t xml:space="preserve"> </w:t>
      </w:r>
      <w:r w:rsidRPr="00386B90">
        <w:t>‘combination of financial knowledge, skills, attitudes and behaviours necessary to make sound financial decisions, based on personal circumstances, to improve financial wellbeing’</w:t>
      </w:r>
      <w:r w:rsidRPr="00446CFF">
        <w:rPr>
          <w:rStyle w:val="FootnoteReference"/>
        </w:rPr>
        <w:footnoteReference w:id="4"/>
      </w:r>
      <w:r w:rsidRPr="0063382C">
        <w:rPr>
          <w:i/>
        </w:rPr>
        <w:t xml:space="preserve"> </w:t>
      </w:r>
      <w:r>
        <w:t xml:space="preserve">the </w:t>
      </w:r>
      <w:r w:rsidR="006879EF">
        <w:t>WFCP</w:t>
      </w:r>
      <w:r>
        <w:t>’s</w:t>
      </w:r>
      <w:r w:rsidRPr="0063382C">
        <w:t xml:space="preserve"> approach locates individuals within elements that enable or disable their individual financial capabilities: an adequate income, access to appropriate financial information and supports, a non-exploitative market, an emergency buffer</w:t>
      </w:r>
      <w:r>
        <w:t>.</w:t>
      </w:r>
      <w:r>
        <w:rPr>
          <w:rStyle w:val="FootnoteReference"/>
        </w:rPr>
        <w:footnoteReference w:id="5"/>
      </w:r>
    </w:p>
    <w:p w14:paraId="11805AAF" w14:textId="7D4AB0D7" w:rsidR="00446CFF" w:rsidRDefault="00446CFF" w:rsidP="00446CFF">
      <w:pPr>
        <w:pStyle w:val="BodyText"/>
      </w:pPr>
      <w:r w:rsidRPr="0063382C">
        <w:t xml:space="preserve">Women’s financial capabilities rely on them having an adequate income, accessing relevant financial knowledge, developing and practicing skills, and maintaining attitudes and behaviours to achieve the necessary levels of confidence to act. </w:t>
      </w:r>
      <w:r w:rsidRPr="00B72FB3">
        <w:t>An individual’s financial capability is also framed by individual conditions such as experiences in financially abusive relationships, self-belief and self-efficacy, financial sociali</w:t>
      </w:r>
      <w:r w:rsidR="00FC75D7">
        <w:t>sation and inclusion, and short-</w:t>
      </w:r>
      <w:r w:rsidRPr="00B72FB3">
        <w:t xml:space="preserve">term vs future orientation.  </w:t>
      </w:r>
    </w:p>
    <w:p w14:paraId="5C3D12DF" w14:textId="1C422E6F" w:rsidR="002C741A" w:rsidRPr="00B72FB3" w:rsidRDefault="00C54F45" w:rsidP="00DE143D">
      <w:pPr>
        <w:pStyle w:val="Heading3"/>
      </w:pPr>
      <w:r>
        <w:t>Our a</w:t>
      </w:r>
      <w:r w:rsidR="002C741A" w:rsidRPr="00B72FB3">
        <w:t>pproach</w:t>
      </w:r>
      <w:bookmarkEnd w:id="4"/>
      <w:r w:rsidR="002C741A" w:rsidRPr="00B72FB3">
        <w:t xml:space="preserve"> </w:t>
      </w:r>
    </w:p>
    <w:p w14:paraId="123864E8" w14:textId="099A8D8C" w:rsidR="00446CFF" w:rsidRDefault="00446CFF" w:rsidP="00446CFF">
      <w:pPr>
        <w:pStyle w:val="BodyText"/>
      </w:pPr>
      <w:bookmarkStart w:id="5" w:name="_Toc33099970"/>
      <w:r w:rsidRPr="00B72FB3">
        <w:t xml:space="preserve">The </w:t>
      </w:r>
      <w:r w:rsidR="006879EF">
        <w:t>WFCP</w:t>
      </w:r>
      <w:r w:rsidRPr="00B72FB3">
        <w:t xml:space="preserve"> recognises</w:t>
      </w:r>
      <w:r w:rsidR="009974FC">
        <w:t xml:space="preserve"> </w:t>
      </w:r>
      <w:r w:rsidRPr="00B72FB3">
        <w:t>structural barriers as well as individual experience and</w:t>
      </w:r>
      <w:r w:rsidR="00A33729">
        <w:t xml:space="preserve"> social</w:t>
      </w:r>
      <w:r w:rsidR="006A120B">
        <w:t xml:space="preserve"> identity intersections</w:t>
      </w:r>
      <w:r w:rsidRPr="00B72FB3">
        <w:t xml:space="preserve"> </w:t>
      </w:r>
      <w:r w:rsidR="00A33729">
        <w:t xml:space="preserve">influence </w:t>
      </w:r>
      <w:r w:rsidRPr="00B72FB3">
        <w:t xml:space="preserve">women’s levels of financial capability. Women experience structural, economic and social disadvantage because of their gender, and this is compounded if they live with disability, are from </w:t>
      </w:r>
      <w:r w:rsidR="00D419ED">
        <w:t>a refugee, immigrant or asylum-seeker</w:t>
      </w:r>
      <w:r w:rsidRPr="00B72FB3">
        <w:t xml:space="preserve"> background, or are First Nations women.</w:t>
      </w:r>
      <w:r>
        <w:t xml:space="preserve"> </w:t>
      </w:r>
    </w:p>
    <w:p w14:paraId="1883C23E" w14:textId="4F4DAC63" w:rsidR="00446CFF" w:rsidRPr="006C63CB" w:rsidRDefault="00446CFF" w:rsidP="00446CFF">
      <w:pPr>
        <w:pStyle w:val="BodyText"/>
      </w:pPr>
      <w:r w:rsidRPr="006C63CB">
        <w:t xml:space="preserve">The </w:t>
      </w:r>
      <w:r w:rsidR="006879EF">
        <w:t>WFCP</w:t>
      </w:r>
      <w:r w:rsidRPr="006C63CB">
        <w:t xml:space="preserve"> centres women</w:t>
      </w:r>
      <w:r w:rsidR="006A120B">
        <w:t>’s</w:t>
      </w:r>
      <w:r w:rsidRPr="006C63CB">
        <w:t xml:space="preserve"> experience in a white supremacist</w:t>
      </w:r>
      <w:r>
        <w:t>,</w:t>
      </w:r>
      <w:r w:rsidRPr="006C63CB">
        <w:t xml:space="preserve"> patriarchal</w:t>
      </w:r>
      <w:r>
        <w:t>,</w:t>
      </w:r>
      <w:r w:rsidR="00D419ED">
        <w:t xml:space="preserve"> </w:t>
      </w:r>
      <w:r w:rsidRPr="006C63CB">
        <w:t>capitalist society which values certain bodies and identities over</w:t>
      </w:r>
      <w:r w:rsidR="00AC2936">
        <w:t xml:space="preserve"> others;</w:t>
      </w:r>
      <w:r w:rsidR="00D419ED">
        <w:t xml:space="preserve"> with</w:t>
      </w:r>
      <w:r w:rsidRPr="006C63CB">
        <w:t xml:space="preserve"> the white</w:t>
      </w:r>
      <w:r w:rsidR="00AC2936">
        <w:t>,</w:t>
      </w:r>
      <w:r w:rsidRPr="006C63CB">
        <w:t xml:space="preserve"> able-bodied</w:t>
      </w:r>
      <w:r w:rsidR="00AC2936">
        <w:t>, cis-gendered</w:t>
      </w:r>
      <w:r w:rsidRPr="006C63CB">
        <w:t xml:space="preserve"> male at the apex of economic and cultural worth. Capitalist conditions and devaluation of female dominated industries, including under or unpaid </w:t>
      </w:r>
      <w:r w:rsidRPr="006C63CB">
        <w:lastRenderedPageBreak/>
        <w:t>care, mean that women of</w:t>
      </w:r>
      <w:r w:rsidR="00FC75D7">
        <w:t xml:space="preserve">ten have less access to income </w:t>
      </w:r>
      <w:r w:rsidRPr="006C63CB">
        <w:t xml:space="preserve">while carrying the burden of care in home, community and even professional settings. Patriarchal societal conditions mean that women are also subject to rigid gender roles that expect them to carry this unpaid burden of care, while they are also more likely to experience financial abuse and domestic violence. This gender discrimination is compounded if it intersects with discrimination due to race, class, disability, sexuality, location, </w:t>
      </w:r>
      <w:proofErr w:type="spellStart"/>
      <w:r w:rsidRPr="006C63CB">
        <w:t>migra</w:t>
      </w:r>
      <w:r w:rsidR="00616FCA">
        <w:t>n</w:t>
      </w:r>
      <w:r w:rsidRPr="006C63CB">
        <w:t>cy</w:t>
      </w:r>
      <w:proofErr w:type="spellEnd"/>
      <w:r w:rsidRPr="006C63CB">
        <w:t xml:space="preserve"> and</w:t>
      </w:r>
      <w:r>
        <w:t>/or</w:t>
      </w:r>
      <w:r w:rsidRPr="006C63CB">
        <w:t xml:space="preserve"> </w:t>
      </w:r>
      <w:r w:rsidR="00616FCA">
        <w:t>relationship</w:t>
      </w:r>
      <w:r w:rsidRPr="006C63CB">
        <w:t xml:space="preserve"> status. </w:t>
      </w:r>
    </w:p>
    <w:p w14:paraId="16EB81DA" w14:textId="4F36C31A" w:rsidR="00C92F1F" w:rsidRDefault="00C92F1F" w:rsidP="00C92F1F">
      <w:pPr>
        <w:pStyle w:val="BodyText"/>
      </w:pPr>
      <w:r w:rsidRPr="006C63CB">
        <w:t xml:space="preserve">State </w:t>
      </w:r>
      <w:r w:rsidR="004A668E">
        <w:t>fiscal</w:t>
      </w:r>
      <w:r w:rsidRPr="006C63CB">
        <w:t xml:space="preserve"> violence</w:t>
      </w:r>
      <w:r>
        <w:t xml:space="preserve"> interacts with and reinforces these barriers. </w:t>
      </w:r>
      <w:r w:rsidR="004A668E">
        <w:t>Fiscal violence is a term</w:t>
      </w:r>
      <w:r w:rsidR="00287F96">
        <w:t xml:space="preserve"> used to relate to S</w:t>
      </w:r>
      <w:r w:rsidR="004A668E">
        <w:t>tate and Government economic, budgetary, revenue and tax policies that sy</w:t>
      </w:r>
      <w:r w:rsidR="00C06414">
        <w:t>stema</w:t>
      </w:r>
      <w:r w:rsidR="004A668E">
        <w:t>tically disenfranchise the poor and marginalised.</w:t>
      </w:r>
      <w:r w:rsidR="004A668E">
        <w:rPr>
          <w:rStyle w:val="FootnoteReference"/>
        </w:rPr>
        <w:footnoteReference w:id="6"/>
      </w:r>
      <w:r w:rsidR="004A668E">
        <w:t xml:space="preserve"> </w:t>
      </w:r>
      <w:r>
        <w:t xml:space="preserve">This </w:t>
      </w:r>
      <w:r w:rsidRPr="006C63CB">
        <w:t>includes</w:t>
      </w:r>
      <w:r>
        <w:t xml:space="preserve"> paternalistic</w:t>
      </w:r>
      <w:r w:rsidRPr="006C63CB">
        <w:t xml:space="preserve"> policy</w:t>
      </w:r>
      <w:r>
        <w:t>-</w:t>
      </w:r>
      <w:r w:rsidRPr="006C63CB">
        <w:t>sanctioned economic</w:t>
      </w:r>
      <w:r>
        <w:t xml:space="preserve"> marginalisation which has</w:t>
      </w:r>
      <w:r w:rsidRPr="006C63CB">
        <w:t xml:space="preserve"> very real and generational impacts for women</w:t>
      </w:r>
      <w:r>
        <w:t>,</w:t>
      </w:r>
      <w:r w:rsidRPr="006C63CB">
        <w:t xml:space="preserve"> particularly those from First Nations and immigrant, refugee and asylum-seeker backgrounds and / or </w:t>
      </w:r>
      <w:r>
        <w:t xml:space="preserve">if </w:t>
      </w:r>
      <w:r w:rsidRPr="006C63CB">
        <w:t>they have a disability</w:t>
      </w:r>
      <w:r>
        <w:t xml:space="preserve">. Examples of fiscal </w:t>
      </w:r>
      <w:r w:rsidR="006C6E3F">
        <w:t>violence through policy include:</w:t>
      </w:r>
      <w:r>
        <w:t xml:space="preserve"> </w:t>
      </w:r>
      <w:r w:rsidRPr="006C63CB">
        <w:t xml:space="preserve">intergenerational poverty based on </w:t>
      </w:r>
      <w:r>
        <w:t>inadequate social security income,</w:t>
      </w:r>
      <w:r w:rsidRPr="00742BD6">
        <w:rPr>
          <w:color w:val="FF0000"/>
        </w:rPr>
        <w:t xml:space="preserve"> </w:t>
      </w:r>
      <w:r w:rsidR="001A5869" w:rsidRPr="001A5869">
        <w:rPr>
          <w:color w:val="000000" w:themeColor="text1"/>
        </w:rPr>
        <w:t>blocks</w:t>
      </w:r>
      <w:r>
        <w:t xml:space="preserve"> to home ownership</w:t>
      </w:r>
      <w:r w:rsidR="001A5869">
        <w:t>,</w:t>
      </w:r>
      <w:r>
        <w:t xml:space="preserve"> and </w:t>
      </w:r>
      <w:r w:rsidR="001A5869">
        <w:t>surveillance</w:t>
      </w:r>
      <w:r w:rsidR="00AC2936">
        <w:t xml:space="preserve"> and </w:t>
      </w:r>
      <w:r>
        <w:t xml:space="preserve">disempowerment through cashless welfare cards for First Nations people; </w:t>
      </w:r>
      <w:r w:rsidRPr="006C63CB">
        <w:t>unnecessarily long wait times on</w:t>
      </w:r>
      <w:r>
        <w:t xml:space="preserve"> visas to access work rights for recent arrivals; </w:t>
      </w:r>
      <w:r w:rsidR="00C06414">
        <w:t>and</w:t>
      </w:r>
      <w:r w:rsidRPr="006C63CB">
        <w:t xml:space="preserve"> complex disability welfare </w:t>
      </w:r>
      <w:r>
        <w:t xml:space="preserve">criteria </w:t>
      </w:r>
      <w:r w:rsidRPr="006C63CB">
        <w:t xml:space="preserve">that make it </w:t>
      </w:r>
      <w:r>
        <w:t>difficult for people to pursue part-</w:t>
      </w:r>
      <w:r w:rsidRPr="006C63CB">
        <w:t>time work</w:t>
      </w:r>
      <w:r>
        <w:t xml:space="preserve"> and professional empowerment</w:t>
      </w:r>
      <w:r w:rsidR="00C06414">
        <w:t xml:space="preserve"> without risking their social security</w:t>
      </w:r>
      <w:r>
        <w:t>.</w:t>
      </w:r>
      <w:r w:rsidR="001A5869">
        <w:rPr>
          <w:rStyle w:val="FootnoteReference"/>
        </w:rPr>
        <w:footnoteReference w:id="7"/>
      </w:r>
      <w:r>
        <w:t xml:space="preserve"> Women, especially single mothers, are </w:t>
      </w:r>
      <w:r w:rsidR="00287F96">
        <w:t>more impacted by</w:t>
      </w:r>
      <w:r>
        <w:t xml:space="preserve"> ec</w:t>
      </w:r>
      <w:r w:rsidR="001A5869">
        <w:t>onomic crisis</w:t>
      </w:r>
      <w:r w:rsidR="00287F96">
        <w:t xml:space="preserve"> and emergency</w:t>
      </w:r>
      <w:r w:rsidR="001A5869">
        <w:t xml:space="preserve"> management policy,</w:t>
      </w:r>
      <w:r>
        <w:t xml:space="preserve"> including recession and austerity measures that often result in cuts to social security</w:t>
      </w:r>
      <w:r w:rsidR="00C06414">
        <w:t>, and a lack of safe social housing</w:t>
      </w:r>
      <w:r>
        <w:t>.</w:t>
      </w:r>
      <w:r w:rsidR="004A668E">
        <w:rPr>
          <w:rStyle w:val="FootnoteReference"/>
        </w:rPr>
        <w:footnoteReference w:id="8"/>
      </w:r>
      <w:r>
        <w:t xml:space="preserve"> </w:t>
      </w:r>
      <w:r w:rsidRPr="006C63CB">
        <w:t xml:space="preserve">These </w:t>
      </w:r>
      <w:r w:rsidRPr="00287F96">
        <w:rPr>
          <w:color w:val="000000" w:themeColor="text1"/>
        </w:rPr>
        <w:t xml:space="preserve">types of policy represent </w:t>
      </w:r>
      <w:r w:rsidR="00C06414">
        <w:rPr>
          <w:color w:val="000000" w:themeColor="text1"/>
        </w:rPr>
        <w:t>fiscal</w:t>
      </w:r>
      <w:r w:rsidRPr="00287F96">
        <w:rPr>
          <w:color w:val="000000" w:themeColor="text1"/>
        </w:rPr>
        <w:t xml:space="preserve"> violence</w:t>
      </w:r>
      <w:r w:rsidR="00616FCA" w:rsidRPr="00287F96">
        <w:rPr>
          <w:color w:val="000000" w:themeColor="text1"/>
        </w:rPr>
        <w:t xml:space="preserve"> which</w:t>
      </w:r>
      <w:r w:rsidRPr="00287F96">
        <w:rPr>
          <w:color w:val="000000" w:themeColor="text1"/>
        </w:rPr>
        <w:t xml:space="preserve"> traps women within a cycle of poverty and increases vulnerability</w:t>
      </w:r>
      <w:r w:rsidR="00287F96" w:rsidRPr="00287F96">
        <w:rPr>
          <w:color w:val="000000" w:themeColor="text1"/>
        </w:rPr>
        <w:t xml:space="preserve"> to </w:t>
      </w:r>
      <w:r w:rsidR="007D7643" w:rsidRPr="00287F96">
        <w:rPr>
          <w:color w:val="000000" w:themeColor="text1"/>
        </w:rPr>
        <w:t>economic hardship</w:t>
      </w:r>
      <w:r w:rsidR="00287F96" w:rsidRPr="00287F96">
        <w:rPr>
          <w:color w:val="000000" w:themeColor="text1"/>
        </w:rPr>
        <w:t>, homelessness</w:t>
      </w:r>
      <w:r w:rsidR="006A120B">
        <w:rPr>
          <w:color w:val="000000" w:themeColor="text1"/>
        </w:rPr>
        <w:t xml:space="preserve"> and domestic violence</w:t>
      </w:r>
      <w:r w:rsidR="00287F96" w:rsidRPr="00287F96">
        <w:rPr>
          <w:color w:val="000000" w:themeColor="text1"/>
        </w:rPr>
        <w:t>.</w:t>
      </w:r>
      <w:r w:rsidR="00287F96">
        <w:rPr>
          <w:rStyle w:val="FootnoteReference"/>
          <w:color w:val="000000" w:themeColor="text1"/>
        </w:rPr>
        <w:footnoteReference w:id="9"/>
      </w:r>
    </w:p>
    <w:p w14:paraId="2C86C01E" w14:textId="7ED63EE5" w:rsidR="00FC75D7" w:rsidRDefault="00446CFF" w:rsidP="00446CFF">
      <w:pPr>
        <w:pStyle w:val="BodyText"/>
      </w:pPr>
      <w:r w:rsidRPr="006C63CB">
        <w:t xml:space="preserve">When considering women’s financial capability one must be cognisant of these interacting and compounding forces, while working towards </w:t>
      </w:r>
      <w:r w:rsidR="00BA066D">
        <w:t>dismantling</w:t>
      </w:r>
      <w:r w:rsidRPr="006C63CB">
        <w:t xml:space="preserve"> these barriers at their intersections. The </w:t>
      </w:r>
      <w:r w:rsidR="006879EF">
        <w:t>WFCP</w:t>
      </w:r>
      <w:r w:rsidRPr="006C63CB">
        <w:t xml:space="preserve"> project recognises the scale and complexity of these intersecting issues and is therefore approached through a</w:t>
      </w:r>
      <w:r w:rsidR="006A120B">
        <w:t xml:space="preserve"> gendered, trauma-informed and i</w:t>
      </w:r>
      <w:r w:rsidRPr="006C63CB">
        <w:t xml:space="preserve">ntersectional lens. Its </w:t>
      </w:r>
      <w:r w:rsidR="009974FC">
        <w:t>outcomes</w:t>
      </w:r>
      <w:r w:rsidRPr="006C63CB">
        <w:t xml:space="preserve"> are co</w:t>
      </w:r>
      <w:r>
        <w:t>-designed and strengths-b</w:t>
      </w:r>
      <w:r w:rsidR="00FC75D7">
        <w:t xml:space="preserve">ased. </w:t>
      </w:r>
    </w:p>
    <w:p w14:paraId="7D8D3A14" w14:textId="4884F6CB" w:rsidR="00446CFF" w:rsidRPr="006C63CB" w:rsidRDefault="00FC75D7" w:rsidP="00446CFF">
      <w:pPr>
        <w:pStyle w:val="BodyText"/>
      </w:pPr>
      <w:r>
        <w:t>These approaches are defined as follows:</w:t>
      </w:r>
    </w:p>
    <w:p w14:paraId="2DF9FCA4" w14:textId="57993DF7" w:rsidR="00446CFF" w:rsidRPr="00616FCA" w:rsidRDefault="00446CFF" w:rsidP="00446CFF">
      <w:r w:rsidRPr="00F84419">
        <w:rPr>
          <w:b/>
        </w:rPr>
        <w:t>Intersectionality</w:t>
      </w:r>
      <w:r w:rsidRPr="00F84419">
        <w:t xml:space="preserve"> </w:t>
      </w:r>
      <w:r w:rsidR="00616FCA" w:rsidRPr="00357161">
        <w:t>is a framework that emerged through lived experiences of black</w:t>
      </w:r>
      <w:r w:rsidR="007D7F47">
        <w:t xml:space="preserve"> women and women-of-colour. It</w:t>
      </w:r>
      <w:r w:rsidR="00616FCA" w:rsidRPr="00357161">
        <w:t xml:space="preserve"> explains how power shapes identity, and provides nuanced, contextualised analyses of how multiple forms of power intersect to compound existing structural oppression for those living at the intersection of multiple forms of marginalisation due to </w:t>
      </w:r>
      <w:r w:rsidR="00616FCA">
        <w:t xml:space="preserve">gender, </w:t>
      </w:r>
      <w:r w:rsidR="00616FCA" w:rsidRPr="00357161">
        <w:t>race, class, age, sexual ori</w:t>
      </w:r>
      <w:r w:rsidR="007D7F47">
        <w:t>entation, ability, I</w:t>
      </w:r>
      <w:r w:rsidR="00616FCA">
        <w:t xml:space="preserve">ndigeneity and / or </w:t>
      </w:r>
      <w:proofErr w:type="spellStart"/>
      <w:r w:rsidR="00616FCA" w:rsidRPr="00357161">
        <w:t>migrancy</w:t>
      </w:r>
      <w:proofErr w:type="spellEnd"/>
      <w:r w:rsidR="00616FCA" w:rsidRPr="00357161">
        <w:t xml:space="preserve">. An intersectional approach is key to identifying and unpacking the </w:t>
      </w:r>
      <w:r w:rsidR="00616FCA" w:rsidRPr="00357161">
        <w:lastRenderedPageBreak/>
        <w:t>interlocking networks of power and barriers described above, and to provide meaningful interventions that can work to mitigate and/or remove these barriers.</w:t>
      </w:r>
    </w:p>
    <w:p w14:paraId="6A5DDE4A" w14:textId="5E18BFF0" w:rsidR="00446CFF" w:rsidRPr="00635D19" w:rsidRDefault="00446CFF" w:rsidP="00446CFF">
      <w:pPr>
        <w:spacing w:after="0"/>
      </w:pPr>
      <w:r w:rsidRPr="00F84419">
        <w:rPr>
          <w:b/>
        </w:rPr>
        <w:t>Trauma and violence informed practice</w:t>
      </w:r>
      <w:r>
        <w:rPr>
          <w:b/>
        </w:rPr>
        <w:t xml:space="preserve"> (TVIP)</w:t>
      </w:r>
      <w:r w:rsidRPr="00B72FB3">
        <w:t xml:space="preserve"> </w:t>
      </w:r>
      <w:r w:rsidR="00AE710E" w:rsidRPr="006A120B">
        <w:rPr>
          <w:rStyle w:val="BodyTextChar"/>
        </w:rPr>
        <w:t>is victim-survivor centred and understands individual needs in relation to the cumulative traumatic impacts of historic and current systemic and interpersonal violence and structural inequities on a person’s life.</w:t>
      </w:r>
      <w:r w:rsidR="00AE710E" w:rsidRPr="006A120B">
        <w:rPr>
          <w:rStyle w:val="BodyTextChar"/>
        </w:rPr>
        <w:footnoteReference w:id="10"/>
      </w:r>
      <w:r w:rsidR="00AE710E" w:rsidRPr="006A120B">
        <w:rPr>
          <w:rStyle w:val="BodyTextChar"/>
        </w:rPr>
        <w:t xml:space="preserve">  </w:t>
      </w:r>
      <w:r w:rsidR="009974FC" w:rsidRPr="006A120B">
        <w:rPr>
          <w:rStyle w:val="BodyTextChar"/>
        </w:rPr>
        <w:t xml:space="preserve">TVIP recognises the extent of gendered violence alongside societal and interpersonal financial abuse in our culture and the need for widespread awareness for its prevention, recognition and appropriate support. </w:t>
      </w:r>
      <w:r w:rsidR="00AE710E" w:rsidRPr="006A120B">
        <w:rPr>
          <w:rStyle w:val="BodyTextChar"/>
        </w:rPr>
        <w:t>TVIP also recognises that financial abuse is a distinct form of non-physical family violence perpetrated through financial control, financial exploitation and employment/education sabotage and results in significant impact on victim-survivors’ long-term financial and overall well-being long after the violence or relationship ends (if it does).</w:t>
      </w:r>
      <w:r w:rsidR="00AE710E" w:rsidRPr="004858C4">
        <w:rPr>
          <w:rStyle w:val="FootnoteReference"/>
          <w:color w:val="000000" w:themeColor="text1"/>
        </w:rPr>
        <w:footnoteReference w:id="11"/>
      </w:r>
    </w:p>
    <w:p w14:paraId="2E25BE5C" w14:textId="77777777" w:rsidR="00446CFF" w:rsidRPr="006F26B5" w:rsidRDefault="00446CFF" w:rsidP="00446CFF">
      <w:pPr>
        <w:spacing w:after="0"/>
        <w:rPr>
          <w:rFonts w:ascii="Times" w:eastAsiaTheme="minorHAnsi" w:hAnsi="Times" w:cstheme="minorBidi"/>
          <w:sz w:val="20"/>
          <w:szCs w:val="20"/>
          <w:lang w:val="en-AU"/>
        </w:rPr>
      </w:pPr>
    </w:p>
    <w:p w14:paraId="4226494A" w14:textId="4D8943C2" w:rsidR="00446CFF" w:rsidRPr="00635D19" w:rsidRDefault="00446CFF" w:rsidP="007B252C">
      <w:pPr>
        <w:pStyle w:val="BodyText"/>
      </w:pPr>
      <w:r w:rsidRPr="002B54BC">
        <w:rPr>
          <w:b/>
        </w:rPr>
        <w:t>Strength-based responses</w:t>
      </w:r>
      <w:r w:rsidRPr="00B72FB3">
        <w:t xml:space="preserve"> locate women as ‘experts’ in their life, who are able to make choices and decisions </w:t>
      </w:r>
      <w:r w:rsidR="007B252C">
        <w:t xml:space="preserve">most </w:t>
      </w:r>
      <w:r w:rsidR="00AC2936">
        <w:t>appropriate</w:t>
      </w:r>
      <w:r w:rsidR="007B252C">
        <w:t xml:space="preserve"> to them </w:t>
      </w:r>
      <w:r w:rsidRPr="00B72FB3">
        <w:t>when provided with knowledge, information and support.</w:t>
      </w:r>
      <w:r w:rsidRPr="00B72FB3">
        <w:rPr>
          <w:rStyle w:val="FootnoteReference"/>
        </w:rPr>
        <w:footnoteReference w:id="12"/>
      </w:r>
      <w:r w:rsidR="00AE710E">
        <w:t xml:space="preserve">  Strengths</w:t>
      </w:r>
      <w:r w:rsidR="007B252C">
        <w:t>-</w:t>
      </w:r>
      <w:r w:rsidR="00AE710E">
        <w:t>based response</w:t>
      </w:r>
      <w:r w:rsidR="008428DB">
        <w:t>s centralise</w:t>
      </w:r>
      <w:r w:rsidR="007B252C">
        <w:t xml:space="preserve"> lived experience and empowerment in developing inter</w:t>
      </w:r>
      <w:r w:rsidR="007D7F47">
        <w:t>ventions into</w:t>
      </w:r>
      <w:r w:rsidR="007B252C">
        <w:t xml:space="preserve"> social problems. </w:t>
      </w:r>
    </w:p>
    <w:p w14:paraId="51D670A0" w14:textId="57E88F38" w:rsidR="00446CFF" w:rsidRPr="00B72FB3" w:rsidRDefault="00446CFF" w:rsidP="00446CFF">
      <w:pPr>
        <w:pStyle w:val="BodyText"/>
      </w:pPr>
      <w:r w:rsidRPr="00B72FB3">
        <w:t xml:space="preserve">The </w:t>
      </w:r>
      <w:r w:rsidR="006879EF">
        <w:t>Women’s Financial Capabilities</w:t>
      </w:r>
      <w:r>
        <w:t xml:space="preserve"> Project</w:t>
      </w:r>
      <w:r w:rsidRPr="00B72FB3">
        <w:t xml:space="preserve"> uses these frameworks along with co-design to ensure that financial capability outcomes for First Nations, </w:t>
      </w:r>
      <w:r>
        <w:t xml:space="preserve">migrant, refugee and </w:t>
      </w:r>
      <w:r w:rsidRPr="00B72FB3">
        <w:t xml:space="preserve">asylum-seeker women, and women with disabilities are guided by their voices and experience, and are appropriate to these communities at the intersections of financial barriers. </w:t>
      </w:r>
    </w:p>
    <w:p w14:paraId="2AAB94AD" w14:textId="4083C3E1" w:rsidR="00446CFF" w:rsidRPr="00B72FB3" w:rsidRDefault="00446CFF" w:rsidP="00446CFF">
      <w:pPr>
        <w:pStyle w:val="BodyText"/>
      </w:pPr>
      <w:r w:rsidRPr="00B72FB3">
        <w:t>To date the project has undertaken a literature review, mapped existing financial capability services and products, and commenced co-design with both professional and lived-experience experts. The learnings from this work is summarised below and has</w:t>
      </w:r>
      <w:r>
        <w:t xml:space="preserve"> </w:t>
      </w:r>
      <w:r w:rsidR="007D7F47">
        <w:t>informed</w:t>
      </w:r>
      <w:r w:rsidRPr="00B72FB3">
        <w:t xml:space="preserve"> a project plan designed to enhance both individual and community financial capability for women. </w:t>
      </w:r>
    </w:p>
    <w:p w14:paraId="3967984B" w14:textId="511A17A0" w:rsidR="002C741A" w:rsidRPr="00C12E15" w:rsidRDefault="00C54F45" w:rsidP="00DE143D">
      <w:pPr>
        <w:pStyle w:val="Heading2"/>
      </w:pPr>
      <w:r>
        <w:t>Summary of literature r</w:t>
      </w:r>
      <w:r w:rsidR="002C741A" w:rsidRPr="00C12E15">
        <w:t>eview</w:t>
      </w:r>
      <w:bookmarkEnd w:id="5"/>
    </w:p>
    <w:p w14:paraId="564A3BE7" w14:textId="6F1C1B28" w:rsidR="002C741A" w:rsidRDefault="002C741A" w:rsidP="002C741A">
      <w:r w:rsidRPr="00B72FB3">
        <w:t xml:space="preserve">The </w:t>
      </w:r>
      <w:r w:rsidR="006879EF">
        <w:t>WFCP</w:t>
      </w:r>
      <w:r w:rsidRPr="00B72FB3">
        <w:t xml:space="preserve"> literature review provided a concise summar</w:t>
      </w:r>
      <w:r w:rsidR="005D1939">
        <w:t xml:space="preserve">y and analysis of contemporary </w:t>
      </w:r>
      <w:r w:rsidRPr="00B72FB3">
        <w:t xml:space="preserve">international </w:t>
      </w:r>
      <w:r w:rsidR="002160FE">
        <w:t xml:space="preserve">and local </w:t>
      </w:r>
      <w:r w:rsidRPr="00B72FB3">
        <w:t>academic</w:t>
      </w:r>
      <w:r w:rsidR="002160FE">
        <w:t xml:space="preserve"> and grey</w:t>
      </w:r>
      <w:r w:rsidRPr="00B72FB3">
        <w:t xml:space="preserve"> literature on fi</w:t>
      </w:r>
      <w:r w:rsidR="002160FE">
        <w:t>nancial capability which</w:t>
      </w:r>
      <w:r w:rsidRPr="00B72FB3">
        <w:t xml:space="preserve"> will help to inform th</w:t>
      </w:r>
      <w:r w:rsidR="005D1939">
        <w:t xml:space="preserve">e </w:t>
      </w:r>
      <w:r w:rsidR="006879EF">
        <w:t>WFCP</w:t>
      </w:r>
      <w:r w:rsidR="005D1939">
        <w:t xml:space="preserve"> project</w:t>
      </w:r>
      <w:r w:rsidRPr="00B72FB3">
        <w:t>. T</w:t>
      </w:r>
      <w:r w:rsidR="002160FE">
        <w:t>he aim of the review was to</w:t>
      </w:r>
      <w:r w:rsidRPr="00B72FB3">
        <w:t xml:space="preserve"> inform an understanding of best pract</w:t>
      </w:r>
      <w:r w:rsidR="00BB76F3">
        <w:t>ice in financial capability building</w:t>
      </w:r>
      <w:r w:rsidR="005D1939">
        <w:t xml:space="preserve"> for women. Importantly the review</w:t>
      </w:r>
      <w:r w:rsidR="00BB76F3">
        <w:t xml:space="preserve"> included</w:t>
      </w:r>
      <w:r w:rsidR="005D1939">
        <w:t xml:space="preserve"> a focus on research and </w:t>
      </w:r>
      <w:r w:rsidRPr="00B72FB3">
        <w:t xml:space="preserve">research gaps relating to the specific cohorts of women included in this project. The literature review largely focussed on texts from 2006-2019. </w:t>
      </w:r>
    </w:p>
    <w:p w14:paraId="4C583EA3" w14:textId="6073A8B4" w:rsidR="005D1939" w:rsidRPr="00B72FB3" w:rsidRDefault="005D1939" w:rsidP="002C741A">
      <w:r>
        <w:t xml:space="preserve">Below is a summary of key </w:t>
      </w:r>
      <w:r w:rsidRPr="007A08BB">
        <w:rPr>
          <w:color w:val="000000" w:themeColor="text1"/>
        </w:rPr>
        <w:t xml:space="preserve">learnings </w:t>
      </w:r>
      <w:r w:rsidR="00444A0F" w:rsidRPr="007A08BB">
        <w:rPr>
          <w:color w:val="000000" w:themeColor="text1"/>
        </w:rPr>
        <w:t xml:space="preserve">from the Literature Review </w:t>
      </w:r>
      <w:r w:rsidRPr="007A08BB">
        <w:rPr>
          <w:color w:val="000000" w:themeColor="text1"/>
        </w:rPr>
        <w:t xml:space="preserve">framing the </w:t>
      </w:r>
      <w:r w:rsidR="006879EF">
        <w:rPr>
          <w:color w:val="000000" w:themeColor="text1"/>
        </w:rPr>
        <w:t>WFCP</w:t>
      </w:r>
      <w:r w:rsidRPr="007A08BB">
        <w:rPr>
          <w:color w:val="000000" w:themeColor="text1"/>
        </w:rPr>
        <w:t>.</w:t>
      </w:r>
      <w:r w:rsidR="00F775EF" w:rsidRPr="007A08BB">
        <w:rPr>
          <w:color w:val="000000" w:themeColor="text1"/>
        </w:rPr>
        <w:t xml:space="preserve"> For the full Literature review </w:t>
      </w:r>
      <w:r w:rsidR="005F3CAA" w:rsidRPr="007A08BB">
        <w:rPr>
          <w:color w:val="000000" w:themeColor="text1"/>
        </w:rPr>
        <w:t xml:space="preserve">please contact </w:t>
      </w:r>
      <w:hyperlink r:id="rId9" w:history="1">
        <w:r w:rsidR="005F3CAA" w:rsidRPr="007A08BB">
          <w:rPr>
            <w:rStyle w:val="Hyperlink"/>
          </w:rPr>
          <w:t>WIRE</w:t>
        </w:r>
      </w:hyperlink>
      <w:r w:rsidR="005F3CAA" w:rsidRPr="007A08BB">
        <w:rPr>
          <w:color w:val="000000" w:themeColor="text1"/>
        </w:rPr>
        <w:t xml:space="preserve">. </w:t>
      </w:r>
      <w:r w:rsidR="00F775EF" w:rsidRPr="007A08BB">
        <w:rPr>
          <w:color w:val="000000" w:themeColor="text1"/>
        </w:rPr>
        <w:t xml:space="preserve"> </w:t>
      </w:r>
      <w:r w:rsidRPr="007A08BB">
        <w:rPr>
          <w:color w:val="000000" w:themeColor="text1"/>
        </w:rPr>
        <w:t xml:space="preserve"> </w:t>
      </w:r>
    </w:p>
    <w:p w14:paraId="78E8F1C5" w14:textId="7722BF1A" w:rsidR="002C741A" w:rsidRPr="00B72FB3" w:rsidRDefault="002C741A" w:rsidP="00A556AE">
      <w:pPr>
        <w:pStyle w:val="Heading3"/>
      </w:pPr>
      <w:bookmarkStart w:id="6" w:name="_Toc33099971"/>
      <w:r w:rsidRPr="00B72FB3">
        <w:t>Women</w:t>
      </w:r>
      <w:r w:rsidR="00C54F45">
        <w:t>’s financial c</w:t>
      </w:r>
      <w:r w:rsidR="00F62C1B">
        <w:t>apabil</w:t>
      </w:r>
      <w:r w:rsidR="004B3A0F">
        <w:t>i</w:t>
      </w:r>
      <w:r w:rsidR="00F62C1B">
        <w:t>ty</w:t>
      </w:r>
      <w:r w:rsidR="00C54F45">
        <w:t xml:space="preserve"> in c</w:t>
      </w:r>
      <w:r w:rsidRPr="00B72FB3">
        <w:t>ontext</w:t>
      </w:r>
      <w:bookmarkEnd w:id="6"/>
    </w:p>
    <w:p w14:paraId="6A661C97" w14:textId="7E502C9B" w:rsidR="00F62C1B" w:rsidRPr="00B72FB3" w:rsidRDefault="00F62C1B" w:rsidP="00F62C1B">
      <w:r w:rsidRPr="00B72FB3">
        <w:lastRenderedPageBreak/>
        <w:t>Globally women experience key economic disadvantages including; in Australia a consistent gender pay gap for full-tim</w:t>
      </w:r>
      <w:r>
        <w:t>e working women in (currently a national</w:t>
      </w:r>
      <w:r w:rsidRPr="00B72FB3">
        <w:t xml:space="preserve"> average of 14%);</w:t>
      </w:r>
      <w:r w:rsidRPr="00B72FB3">
        <w:rPr>
          <w:color w:val="FF0000"/>
        </w:rPr>
        <w:t xml:space="preserve"> </w:t>
      </w:r>
      <w:r w:rsidRPr="00B72FB3">
        <w:t>discrepancies in superannuation fund balances (</w:t>
      </w:r>
      <w:r>
        <w:t xml:space="preserve">an </w:t>
      </w:r>
      <w:r w:rsidRPr="00B72FB3">
        <w:t>average gender super gap</w:t>
      </w:r>
      <w:r w:rsidR="00027BCB">
        <w:t xml:space="preserve"> </w:t>
      </w:r>
      <w:r w:rsidRPr="00B72FB3">
        <w:t>of 42%); labour market disadvanta</w:t>
      </w:r>
      <w:r>
        <w:t xml:space="preserve">ges such as low paid, gendered </w:t>
      </w:r>
      <w:r w:rsidRPr="00B72FB3">
        <w:t>and part time work</w:t>
      </w:r>
      <w:r>
        <w:t>;</w:t>
      </w:r>
      <w:r w:rsidRPr="00B72FB3">
        <w:t xml:space="preserve"> career interruptions and prohibitive child care costs.</w:t>
      </w:r>
      <w:r w:rsidRPr="00B72FB3">
        <w:rPr>
          <w:rStyle w:val="FootnoteReference"/>
        </w:rPr>
        <w:footnoteReference w:id="13"/>
      </w:r>
    </w:p>
    <w:p w14:paraId="6A63CF01" w14:textId="77777777" w:rsidR="00F62C1B" w:rsidRDefault="00F62C1B" w:rsidP="00F62C1B">
      <w:r w:rsidRPr="00B72FB3">
        <w:t>The most dominant financial priority for Australian women remains to provide for the daily needs of their families. Women shoulder a greater burden for</w:t>
      </w:r>
      <w:r>
        <w:t xml:space="preserve"> the</w:t>
      </w:r>
      <w:r w:rsidRPr="00B72FB3">
        <w:t xml:space="preserve"> </w:t>
      </w:r>
      <w:r>
        <w:t>unpaid labour of</w:t>
      </w:r>
      <w:r w:rsidRPr="00B72FB3">
        <w:t xml:space="preserve"> care of the home and family, and are more likely to take time out from the paid work force to undertake care-giving responsibilities. </w:t>
      </w:r>
      <w:r w:rsidRPr="006053DE">
        <w:t>The impact of which can continue to affect them both financially and professionally for years.</w:t>
      </w:r>
      <w:r>
        <w:t xml:space="preserve"> </w:t>
      </w:r>
    </w:p>
    <w:p w14:paraId="120946C3" w14:textId="471D4D58" w:rsidR="00F62C1B" w:rsidRDefault="00F62C1B" w:rsidP="00F62C1B">
      <w:r w:rsidRPr="00B72FB3">
        <w:t xml:space="preserve">The nexus of race, poverty and disability creates significant barriers to financial stability. The state of the economy and economic policy, and societal wide gender, race, cultural or other discriminatory policy and service practices impact on people’s opportunities to exercise and develop their financial capabilities. Government approaches and incentives for </w:t>
      </w:r>
      <w:r w:rsidR="00CD2331">
        <w:t>certain people</w:t>
      </w:r>
      <w:r>
        <w:t xml:space="preserve">, including First Nations, refugee, migrant, asylum-seeker, and disability communities, </w:t>
      </w:r>
      <w:r w:rsidRPr="00B72FB3">
        <w:t>are subject to policy and organisational intent, which can change over time</w:t>
      </w:r>
      <w:r>
        <w:t xml:space="preserve"> at the change of governments</w:t>
      </w:r>
      <w:r w:rsidRPr="00B72FB3">
        <w:t>.</w:t>
      </w:r>
    </w:p>
    <w:p w14:paraId="2317A299" w14:textId="0F75B97D" w:rsidR="00F62C1B" w:rsidRDefault="00F62C1B" w:rsidP="008C0755">
      <w:pPr>
        <w:spacing w:after="120"/>
      </w:pPr>
      <w:r w:rsidRPr="008418CD">
        <w:fldChar w:fldCharType="begin"/>
      </w:r>
      <w:r w:rsidRPr="008418CD">
        <w:instrText xml:space="preserve"> ADDIN EN.CITE &lt;EndNote&gt;&lt;Cite AuthorYear="1"&gt;&lt;Author&gt;Fernando&lt;/Author&gt;&lt;Year&gt;2018&lt;/Year&gt;&lt;RecNum&gt;1151&lt;/RecNum&gt;&lt;DisplayText&gt;Fernando (2018)&lt;/DisplayText&gt;&lt;record&gt;&lt;rec-number&gt;1151&lt;/rec-number&gt;&lt;foreign-keys&gt;&lt;key app="EN" db-id="95rxvpe9rfw5zberf235x2fox5txv9sddxt2" timestamp="1542442749" guid="dc50847c-9e8b-418d-a55f-1ad543b39f34"&gt;1151&lt;/key&gt;&lt;/foreign-keys&gt;&lt;ref-type name="Report"&gt;27&lt;/ref-type&gt;&lt;contributors&gt;&lt;authors&gt;&lt;author&gt;Fernando, Nilmini&lt;/author&gt;&lt;/authors&gt;&lt;/contributors&gt;&lt;titles&gt;&lt;title&gt;When’s the right time to talk about money? Financial teachable moments for women affected by family violence&lt;/title&gt;&lt;/titles&gt;&lt;dates&gt;&lt;year&gt;2018&lt;/year&gt;&lt;/dates&gt;&lt;pub-location&gt;Melbourne, Australia&lt;/pub-location&gt;&lt;publisher&gt;WIRE&lt;/publisher&gt;&lt;urls&gt;&lt;related-urls&gt;&lt;url&gt;&lt;style face="underline" font="default" size="100%"&gt;https://www.wire.org.au/assets/Uploads/WhenIsTheRightTimeToTalkAboutMoney.pdf&lt;/style&gt;&lt;/url&gt;&lt;/related-urls&gt;&lt;/urls&gt;&lt;/record&gt;&lt;/Cite&gt;&lt;/EndNote&gt;</w:instrText>
      </w:r>
      <w:r w:rsidRPr="008418CD">
        <w:fldChar w:fldCharType="separate"/>
      </w:r>
      <w:r w:rsidRPr="008418CD">
        <w:rPr>
          <w:noProof/>
        </w:rPr>
        <w:t>Fernando (2018)</w:t>
      </w:r>
      <w:r w:rsidRPr="008418CD">
        <w:fldChar w:fldCharType="end"/>
      </w:r>
      <w:r w:rsidRPr="008418CD">
        <w:t xml:space="preserve"> stresses the importance of understanding the different barriers faced by women that impede them in gaining and </w:t>
      </w:r>
      <w:r>
        <w:t>maintaining financial wellbeing:</w:t>
      </w:r>
      <w:r w:rsidRPr="008418CD">
        <w:t xml:space="preserve"> </w:t>
      </w:r>
    </w:p>
    <w:p w14:paraId="7539AB6B" w14:textId="64CC2799" w:rsidR="008428DB" w:rsidRDefault="00F62C1B" w:rsidP="008C0755">
      <w:r>
        <w:rPr>
          <w:i/>
        </w:rPr>
        <w:t>That s</w:t>
      </w:r>
      <w:r w:rsidRPr="008418CD">
        <w:rPr>
          <w:i/>
        </w:rPr>
        <w:t>ome women have additional barriers to overcome and are more financially disenfranchised than others needs to always be present in our thinking, policy and practices. The gender pay gap, for example, is markedly wider for migrant women and women of colour than white women</w:t>
      </w:r>
      <w:r>
        <w:t>.</w:t>
      </w:r>
      <w:r w:rsidRPr="008418CD">
        <w:rPr>
          <w:rStyle w:val="FootnoteReference"/>
        </w:rPr>
        <w:footnoteReference w:id="14"/>
      </w:r>
    </w:p>
    <w:p w14:paraId="3132D637" w14:textId="77777777" w:rsidR="002C741A" w:rsidRPr="00B72FB3" w:rsidRDefault="002C741A" w:rsidP="002C741A">
      <w:pPr>
        <w:pStyle w:val="Heading4"/>
      </w:pPr>
      <w:r w:rsidRPr="00B72FB3">
        <w:t xml:space="preserve">First Nations women </w:t>
      </w:r>
    </w:p>
    <w:p w14:paraId="0A9C497D" w14:textId="27938AA5" w:rsidR="005F3CAA" w:rsidRDefault="00F62C1B" w:rsidP="005F3CAA">
      <w:pPr>
        <w:pStyle w:val="BodyText"/>
      </w:pPr>
      <w:r w:rsidRPr="00B72FB3">
        <w:t>In Australia, First Nations women experience systematic oppression through settler colonialism, race, class</w:t>
      </w:r>
      <w:r w:rsidR="008428DB">
        <w:t>, sexuality</w:t>
      </w:r>
      <w:r w:rsidRPr="00B72FB3">
        <w:t xml:space="preserve"> and gender.</w:t>
      </w:r>
      <w:r w:rsidR="005F3CAA">
        <w:t xml:space="preserve"> </w:t>
      </w:r>
      <w:r w:rsidR="005F3CAA" w:rsidRPr="00B72FB3">
        <w:t>Settler colonisation, genocide, and dispossession have resulted in loss of culture, breakdown of kinship systems and traditional law. Indentured labour, racial discrimination, and government policies of forced removal of children from families (the ‘Stolen Generation’), stolen wages</w:t>
      </w:r>
      <w:r w:rsidR="005F3CAA">
        <w:t>, disproportionally high incarceration rates</w:t>
      </w:r>
      <w:r w:rsidR="005F3CAA" w:rsidRPr="00B72FB3">
        <w:t xml:space="preserve"> and fiscal abuses have all resulted in socio-economic disadvantages and extreme levels of violence inflicted on many First Nations women, by perpetrators from all cultures</w:t>
      </w:r>
      <w:r w:rsidR="005F3CAA">
        <w:t>.</w:t>
      </w:r>
      <w:r w:rsidR="005F3CAA" w:rsidRPr="004B3A0F">
        <w:rPr>
          <w:rStyle w:val="FootnoteReference"/>
        </w:rPr>
        <w:footnoteReference w:id="15"/>
      </w:r>
      <w:r w:rsidR="005F3CAA" w:rsidRPr="00B72FB3">
        <w:t xml:space="preserve"> </w:t>
      </w:r>
      <w:r w:rsidR="007A5D4E" w:rsidRPr="00D91DC2">
        <w:t>Only 1 in 10 First Nations people consider themselves financ</w:t>
      </w:r>
      <w:r w:rsidR="00D91DC2">
        <w:t>i</w:t>
      </w:r>
      <w:r w:rsidR="007A5D4E" w:rsidRPr="00D91DC2">
        <w:t>ally secure and less than 2 in 5 First Nations people can access $2000 in an emergency (compared to 4 in 5 for non-Indigenous Australians).</w:t>
      </w:r>
      <w:r w:rsidR="007A5D4E" w:rsidRPr="008C0755">
        <w:rPr>
          <w:rStyle w:val="FootnoteReference"/>
        </w:rPr>
        <w:footnoteReference w:id="16"/>
      </w:r>
      <w:r w:rsidR="007A5D4E" w:rsidRPr="008C0755">
        <w:rPr>
          <w:rStyle w:val="FootnoteReference"/>
        </w:rPr>
        <w:t xml:space="preserve"> </w:t>
      </w:r>
    </w:p>
    <w:p w14:paraId="51CB8553" w14:textId="72268EDB" w:rsidR="00F62C1B" w:rsidRPr="00B72FB3" w:rsidRDefault="005F3CAA" w:rsidP="005F3CAA">
      <w:pPr>
        <w:pStyle w:val="BodyText"/>
      </w:pPr>
      <w:r>
        <w:t>S</w:t>
      </w:r>
      <w:r w:rsidR="00F62C1B" w:rsidRPr="00B72FB3">
        <w:t>tructural financial exclusion and lack of access to legal rights, employment</w:t>
      </w:r>
      <w:r w:rsidR="00F62C1B">
        <w:t>, intergenerational wealth</w:t>
      </w:r>
      <w:r w:rsidR="00F62C1B" w:rsidRPr="00B72FB3">
        <w:t xml:space="preserve"> and economic empowerment</w:t>
      </w:r>
      <w:r>
        <w:t xml:space="preserve"> for First Nations people</w:t>
      </w:r>
      <w:r w:rsidR="00F62C1B" w:rsidRPr="00B72FB3">
        <w:t xml:space="preserve"> have resulted in higher rates of prevalence and morb</w:t>
      </w:r>
      <w:r w:rsidR="00F62C1B">
        <w:t xml:space="preserve">idity of violence against them. </w:t>
      </w:r>
      <w:r w:rsidR="00F62C1B" w:rsidRPr="000D6553">
        <w:t xml:space="preserve">For </w:t>
      </w:r>
      <w:r w:rsidR="00F62C1B" w:rsidRPr="000D6553">
        <w:lastRenderedPageBreak/>
        <w:t>example Indigenous women were 32 times to be hospitalised due to family violence</w:t>
      </w:r>
      <w:r w:rsidR="004858C4">
        <w:t xml:space="preserve"> as non-Indigenous women</w:t>
      </w:r>
      <w:r w:rsidR="00285330">
        <w:t>.</w:t>
      </w:r>
      <w:r w:rsidR="00285330">
        <w:rPr>
          <w:rStyle w:val="FootnoteReference"/>
        </w:rPr>
        <w:footnoteReference w:id="17"/>
      </w:r>
      <w:r w:rsidR="00F62C1B" w:rsidRPr="000D6553">
        <w:t xml:space="preserve"> </w:t>
      </w:r>
    </w:p>
    <w:p w14:paraId="3057949B" w14:textId="75B450A6" w:rsidR="00F62C1B" w:rsidRDefault="00F62C1B" w:rsidP="005F3CAA">
      <w:pPr>
        <w:pStyle w:val="BodyText"/>
        <w:rPr>
          <w:b/>
          <w:i/>
        </w:rPr>
      </w:pPr>
      <w:r w:rsidRPr="000D6553">
        <w:t>The financial capability needs of First Nations women</w:t>
      </w:r>
      <w:r w:rsidR="004B3A0F">
        <w:t xml:space="preserve"> </w:t>
      </w:r>
      <w:r w:rsidRPr="000D6553">
        <w:t>are paramount, and the literature indicates the need for culturally appropriate financial responses</w:t>
      </w:r>
      <w:r w:rsidR="000E4FAA">
        <w:t>.</w:t>
      </w:r>
      <w:r w:rsidR="00285330">
        <w:rPr>
          <w:rStyle w:val="FootnoteReference"/>
        </w:rPr>
        <w:footnoteReference w:id="18"/>
      </w:r>
      <w:r w:rsidRPr="000D6553">
        <w:t xml:space="preserve"> In the Australian context, at the forefront of thinking about violence against women must be the prioritisation of Aboriginal and Torres Straits Islander women across service funding, research, </w:t>
      </w:r>
      <w:r>
        <w:t xml:space="preserve">program design, </w:t>
      </w:r>
      <w:r w:rsidRPr="000D6553">
        <w:t>delivery services and products</w:t>
      </w:r>
      <w:r>
        <w:t>;</w:t>
      </w:r>
      <w:r w:rsidRPr="000D6553">
        <w:t xml:space="preserve"> and culturally appropriate financial literacy/capability programs</w:t>
      </w:r>
      <w:r>
        <w:t>.</w:t>
      </w:r>
      <w:r>
        <w:rPr>
          <w:rStyle w:val="FootnoteReference"/>
        </w:rPr>
        <w:footnoteReference w:id="19"/>
      </w:r>
      <w:r w:rsidRPr="000D6553">
        <w:t xml:space="preserve"> </w:t>
      </w:r>
    </w:p>
    <w:p w14:paraId="2B1648DE" w14:textId="2AECC9EA" w:rsidR="002C741A" w:rsidRPr="00B72FB3" w:rsidRDefault="002C741A" w:rsidP="00F62C1B">
      <w:pPr>
        <w:pStyle w:val="Heading4"/>
      </w:pPr>
      <w:r w:rsidRPr="00B72FB3">
        <w:t xml:space="preserve">Women with disabilities </w:t>
      </w:r>
    </w:p>
    <w:p w14:paraId="10F6484A" w14:textId="27CFC468" w:rsidR="002C741A" w:rsidRPr="00B72FB3" w:rsidRDefault="002C741A" w:rsidP="002C741A">
      <w:r w:rsidRPr="00B72FB3">
        <w:t xml:space="preserve">The ANZ-commissioned 2017 </w:t>
      </w:r>
      <w:proofErr w:type="spellStart"/>
      <w:r w:rsidRPr="00B72FB3">
        <w:t>MoneyMinded</w:t>
      </w:r>
      <w:proofErr w:type="spellEnd"/>
      <w:r w:rsidRPr="00B72FB3">
        <w:t xml:space="preserve"> Impact Report, found that people with disability may miss opportunities to develop their financial capability and wellbeing because of lower levels of digital inclusion, lower participation rates in education and the workforce, and lower levels of socialisation</w:t>
      </w:r>
      <w:r w:rsidR="00D76523">
        <w:t>.</w:t>
      </w:r>
      <w:r w:rsidR="00D76523">
        <w:rPr>
          <w:rStyle w:val="FootnoteReference"/>
        </w:rPr>
        <w:footnoteReference w:id="20"/>
      </w:r>
      <w:r w:rsidR="00D76523">
        <w:t xml:space="preserve"> </w:t>
      </w:r>
      <w:r w:rsidRPr="00B72FB3">
        <w:t xml:space="preserve"> </w:t>
      </w:r>
    </w:p>
    <w:p w14:paraId="533FF7FA" w14:textId="77777777" w:rsidR="002C741A" w:rsidRPr="00B72FB3" w:rsidRDefault="002C741A" w:rsidP="002C741A">
      <w:r w:rsidRPr="00B72FB3">
        <w:t xml:space="preserve">National Disability Services (2014) indicated, for most people with disabilities the main cause of financial exclusion is financial hardship. However, there are additional digital inclusion difficulties for people with disability with information about financial products and services is often not provided in the full range of accessible formats. Similarly, financial products such as banking services, credit products, tax advice, insurance, savings and superannuation support are generally not well-targeted for people with disability and can also be inaccessible. </w:t>
      </w:r>
    </w:p>
    <w:p w14:paraId="58191B65" w14:textId="6F88281E" w:rsidR="002C741A" w:rsidRPr="00B72FB3" w:rsidRDefault="002C741A" w:rsidP="002C741A">
      <w:r w:rsidRPr="00B72FB3">
        <w:t xml:space="preserve">People with disabilities face significant barriers to financial stability. Low or unstable income complicate financial decisions. Individuals with disabilities may have a tenuous connection with the </w:t>
      </w:r>
      <w:r w:rsidR="00AC2936" w:rsidRPr="00B72FB3">
        <w:t>labour</w:t>
      </w:r>
      <w:r w:rsidRPr="00B72FB3">
        <w:t xml:space="preserve"> force when employed in low-waged or temporary jobs that are less secure. People with disabilities and long term health conditions experience higher rates of intimate partner violence</w:t>
      </w:r>
      <w:r w:rsidR="00D76523">
        <w:t xml:space="preserve"> and economic abuse </w:t>
      </w:r>
      <w:r w:rsidRPr="00B72FB3">
        <w:t>th</w:t>
      </w:r>
      <w:r w:rsidR="00D76523">
        <w:t xml:space="preserve">an people without disabilities. </w:t>
      </w:r>
      <w:r w:rsidR="00D76523">
        <w:rPr>
          <w:rStyle w:val="FootnoteReference"/>
        </w:rPr>
        <w:footnoteReference w:id="21"/>
      </w:r>
    </w:p>
    <w:p w14:paraId="563CC8E8" w14:textId="6C4FAEBB" w:rsidR="002C741A" w:rsidRPr="00B72FB3" w:rsidRDefault="002C741A" w:rsidP="002C741A">
      <w:r w:rsidRPr="00B72FB3">
        <w:t>According to Russell et al. (2017), Australians living with disabilities may face challenges in accessing the National Insurance Disability Scheme (NDIS), due to its complexity and the greater burden of managing associated financial and administrative tasks.</w:t>
      </w:r>
      <w:r w:rsidR="00D76523">
        <w:rPr>
          <w:rStyle w:val="FootnoteReference"/>
        </w:rPr>
        <w:footnoteReference w:id="22"/>
      </w:r>
      <w:r w:rsidRPr="00B72FB3">
        <w:t xml:space="preserve"> </w:t>
      </w:r>
    </w:p>
    <w:p w14:paraId="74F4569A" w14:textId="77777777" w:rsidR="002C741A" w:rsidRPr="00B72FB3" w:rsidRDefault="002C741A" w:rsidP="002C741A">
      <w:pPr>
        <w:pStyle w:val="Heading4"/>
      </w:pPr>
      <w:r w:rsidRPr="00B72FB3">
        <w:t xml:space="preserve">Migrant, refugee and asylum-seeker women </w:t>
      </w:r>
    </w:p>
    <w:p w14:paraId="5CAB487B" w14:textId="32599DD1" w:rsidR="002C741A" w:rsidRPr="00B72FB3" w:rsidRDefault="002C741A" w:rsidP="002C741A">
      <w:r w:rsidRPr="00B72FB3">
        <w:t xml:space="preserve">New arrivals to Australia, especially those for whom their first language is not English, experience significant financial hardship with a significant barrier </w:t>
      </w:r>
      <w:r w:rsidR="00D72F24">
        <w:t xml:space="preserve">being </w:t>
      </w:r>
      <w:r w:rsidRPr="00B72FB3">
        <w:t>insufficient financial support while resettling</w:t>
      </w:r>
      <w:r w:rsidR="00D76523">
        <w:t>.</w:t>
      </w:r>
      <w:r w:rsidR="00D76523">
        <w:rPr>
          <w:rStyle w:val="FootnoteReference"/>
        </w:rPr>
        <w:footnoteReference w:id="23"/>
      </w:r>
      <w:r w:rsidR="00D76523">
        <w:t xml:space="preserve"> </w:t>
      </w:r>
      <w:r w:rsidRPr="00B72FB3">
        <w:t>Many may not be eligible for basic welfare payments</w:t>
      </w:r>
      <w:r w:rsidR="00D72F24">
        <w:t>,</w:t>
      </w:r>
      <w:r w:rsidRPr="00B72FB3">
        <w:t xml:space="preserve"> and if and when t</w:t>
      </w:r>
      <w:r w:rsidR="00D72F24">
        <w:t xml:space="preserve">hey are </w:t>
      </w:r>
      <w:proofErr w:type="spellStart"/>
      <w:r w:rsidR="00D72F24">
        <w:t>Centrelink’s</w:t>
      </w:r>
      <w:proofErr w:type="spellEnd"/>
      <w:r w:rsidR="00D72F24">
        <w:t xml:space="preserve"> </w:t>
      </w:r>
      <w:proofErr w:type="spellStart"/>
      <w:r w:rsidR="00D72F24">
        <w:t>Newstart</w:t>
      </w:r>
      <w:proofErr w:type="spellEnd"/>
      <w:r w:rsidR="00D72F24">
        <w:t xml:space="preserve"> benefit</w:t>
      </w:r>
      <w:r w:rsidRPr="00B72FB3">
        <w:t xml:space="preserve"> is grossly inadequate. Navigating </w:t>
      </w:r>
      <w:r w:rsidRPr="00B72FB3">
        <w:lastRenderedPageBreak/>
        <w:t xml:space="preserve">the </w:t>
      </w:r>
      <w:proofErr w:type="spellStart"/>
      <w:r w:rsidRPr="00B72FB3">
        <w:t>Centrelink</w:t>
      </w:r>
      <w:proofErr w:type="spellEnd"/>
      <w:r w:rsidRPr="00B72FB3">
        <w:t xml:space="preserve"> and DH</w:t>
      </w:r>
      <w:r w:rsidR="00C120BF">
        <w:t>H</w:t>
      </w:r>
      <w:r w:rsidRPr="00B72FB3">
        <w:t xml:space="preserve">S websites for services is a complicated task for even English-speaking Australians. Newly arrived residents may have to wait 2 to 4 years before being eligible for welfare benefits such as </w:t>
      </w:r>
      <w:proofErr w:type="spellStart"/>
      <w:r w:rsidRPr="00B72FB3">
        <w:t>Newstart</w:t>
      </w:r>
      <w:proofErr w:type="spellEnd"/>
      <w:r w:rsidR="00F62C1B">
        <w:t xml:space="preserve"> and Medicare</w:t>
      </w:r>
      <w:r w:rsidRPr="00B72FB3">
        <w:t xml:space="preserve">. </w:t>
      </w:r>
    </w:p>
    <w:p w14:paraId="4D8BC387" w14:textId="7104C4AB" w:rsidR="002C741A" w:rsidRPr="00B72FB3" w:rsidRDefault="002C741A" w:rsidP="002C741A">
      <w:pPr>
        <w:pStyle w:val="Default"/>
        <w:rPr>
          <w:rFonts w:ascii="Quicksand" w:hAnsi="Quicksand"/>
          <w:color w:val="auto"/>
          <w:sz w:val="22"/>
          <w:szCs w:val="22"/>
        </w:rPr>
      </w:pPr>
      <w:r w:rsidRPr="00B72FB3">
        <w:rPr>
          <w:rFonts w:ascii="Quicksand" w:hAnsi="Quicksand"/>
          <w:color w:val="auto"/>
          <w:sz w:val="22"/>
          <w:szCs w:val="22"/>
        </w:rPr>
        <w:t xml:space="preserve">Newly arrived migrants, who often had limited access to and very low incomes, struggled to live within their means. </w:t>
      </w:r>
      <w:r w:rsidRPr="00B72FB3">
        <w:rPr>
          <w:rFonts w:ascii="Quicksand" w:hAnsi="Quicksand"/>
          <w:sz w:val="22"/>
          <w:szCs w:val="22"/>
        </w:rPr>
        <w:t>Interviews with debt and consumer advocates highlighted the issues face</w:t>
      </w:r>
      <w:r w:rsidR="00D76523">
        <w:rPr>
          <w:rFonts w:ascii="Quicksand" w:hAnsi="Quicksand"/>
          <w:sz w:val="22"/>
          <w:szCs w:val="22"/>
        </w:rPr>
        <w:t xml:space="preserve">d by recently arrived migrants. </w:t>
      </w:r>
      <w:r w:rsidRPr="00B72FB3">
        <w:rPr>
          <w:rFonts w:ascii="Quicksand" w:hAnsi="Quicksand"/>
          <w:sz w:val="22"/>
          <w:szCs w:val="22"/>
        </w:rPr>
        <w:t>Recent migrants were accessing financial counsellors when there were in significant debt and at crisis. They had exhausted help from family and friends, and the stigma of being in financial hardship prevented them from seeking help from services earlier. In particular they had poor understanding of their rights and responsibilities as consumers, this was compounded by low English skills and predatory sellers of products and services. While migrants in debt were less aware of the</w:t>
      </w:r>
      <w:r w:rsidR="00C120BF">
        <w:rPr>
          <w:rFonts w:ascii="Quicksand" w:hAnsi="Quicksand"/>
          <w:sz w:val="22"/>
          <w:szCs w:val="22"/>
        </w:rPr>
        <w:t>ir rights and obligations (e.g.</w:t>
      </w:r>
      <w:r w:rsidRPr="00B72FB3">
        <w:rPr>
          <w:rFonts w:ascii="Quicksand" w:hAnsi="Quicksand"/>
          <w:sz w:val="22"/>
          <w:szCs w:val="22"/>
        </w:rPr>
        <w:t xml:space="preserve"> to ask for alternative payment arrangements for resolving debts)</w:t>
      </w:r>
      <w:r w:rsidR="00C120BF">
        <w:rPr>
          <w:rFonts w:ascii="Quicksand" w:hAnsi="Quicksand"/>
          <w:sz w:val="22"/>
          <w:szCs w:val="22"/>
        </w:rPr>
        <w:t xml:space="preserve">, financial service providers </w:t>
      </w:r>
      <w:r w:rsidRPr="00B72FB3">
        <w:rPr>
          <w:rFonts w:ascii="Quicksand" w:hAnsi="Quicksand"/>
          <w:sz w:val="22"/>
          <w:szCs w:val="22"/>
        </w:rPr>
        <w:t>should also take responsibility to ensure that these rights and obligations are communicated to clients. New migrants were also at risk of financial hardship and stress because of limited understanding (and the complexity of) taxation rules for small businesses and the consequences of i</w:t>
      </w:r>
      <w:r w:rsidR="001A5BD0">
        <w:rPr>
          <w:rFonts w:ascii="Quicksand" w:hAnsi="Quicksand"/>
          <w:sz w:val="22"/>
          <w:szCs w:val="22"/>
        </w:rPr>
        <w:t xml:space="preserve">nadequate insurance. </w:t>
      </w:r>
      <w:proofErr w:type="spellStart"/>
      <w:r w:rsidRPr="00B72FB3">
        <w:rPr>
          <w:rFonts w:ascii="Quicksand" w:hAnsi="Quicksand"/>
          <w:color w:val="auto"/>
          <w:sz w:val="22"/>
          <w:szCs w:val="22"/>
        </w:rPr>
        <w:t>Bourova</w:t>
      </w:r>
      <w:proofErr w:type="spellEnd"/>
      <w:r w:rsidRPr="00B72FB3">
        <w:rPr>
          <w:rFonts w:ascii="Quicksand" w:hAnsi="Quicksand"/>
          <w:color w:val="auto"/>
          <w:sz w:val="22"/>
          <w:szCs w:val="22"/>
        </w:rPr>
        <w:t xml:space="preserve"> et al. (2019) advocates for specialist one-to-one sessions embedded in existing settlement and community programs for refuges, asylum seekers and other vulnerable new arrivals. Given the level of debt and financial hardship experienced by new arrivals these sessions should cover topics such as utilities, insurance, consumer leases, exercising consumer right</w:t>
      </w:r>
      <w:r w:rsidR="001A5BD0">
        <w:rPr>
          <w:rFonts w:ascii="Quicksand" w:hAnsi="Quicksand"/>
          <w:color w:val="auto"/>
          <w:sz w:val="22"/>
          <w:szCs w:val="22"/>
        </w:rPr>
        <w:t>s and resolving debt problems.</w:t>
      </w:r>
      <w:r w:rsidR="001A5BD0">
        <w:rPr>
          <w:rStyle w:val="FootnoteReference"/>
          <w:rFonts w:ascii="Quicksand" w:hAnsi="Quicksand"/>
          <w:color w:val="auto"/>
          <w:sz w:val="22"/>
          <w:szCs w:val="22"/>
        </w:rPr>
        <w:footnoteReference w:id="24"/>
      </w:r>
    </w:p>
    <w:p w14:paraId="05D8E1FF" w14:textId="07BB0242" w:rsidR="002C741A" w:rsidRPr="00D30788" w:rsidRDefault="002C741A" w:rsidP="00D30788">
      <w:pPr>
        <w:pStyle w:val="Heading3"/>
      </w:pPr>
      <w:bookmarkStart w:id="7" w:name="_Toc33099972"/>
      <w:r w:rsidRPr="00D30788">
        <w:rPr>
          <w:rStyle w:val="Heading3Char"/>
          <w:rFonts w:ascii="Quicksand" w:hAnsi="Quicksand"/>
          <w:b/>
          <w:color w:val="E36C0A" w:themeColor="accent6" w:themeShade="BF"/>
        </w:rPr>
        <w:t xml:space="preserve">Barriers to achieving financial capability </w:t>
      </w:r>
      <w:bookmarkEnd w:id="7"/>
      <w:r w:rsidR="00F62C1B">
        <w:rPr>
          <w:rStyle w:val="Heading3Char"/>
          <w:rFonts w:ascii="Quicksand" w:hAnsi="Quicksand"/>
          <w:b/>
          <w:color w:val="E36C0A" w:themeColor="accent6" w:themeShade="BF"/>
        </w:rPr>
        <w:t>for women</w:t>
      </w:r>
    </w:p>
    <w:p w14:paraId="47FBAF91" w14:textId="77777777" w:rsidR="00F62C1B" w:rsidRPr="00B72FB3" w:rsidRDefault="00F62C1B" w:rsidP="00F62C1B">
      <w:bookmarkStart w:id="8" w:name="_Toc33099973"/>
      <w:r w:rsidRPr="00B72FB3">
        <w:t>There are several fundamental external conditions that are n</w:t>
      </w:r>
      <w:r>
        <w:t>ecessary for women to develop</w:t>
      </w:r>
      <w:r w:rsidRPr="00B72FB3">
        <w:t xml:space="preserve"> financial capabilities, and hence these external or structural conditions also act as barriers to financial capability: access to financial resources, financial inclusion, consumer protections and means for redress, social norms and</w:t>
      </w:r>
      <w:r>
        <w:t xml:space="preserve"> obligations</w:t>
      </w:r>
      <w:r w:rsidRPr="00B72FB3">
        <w:t xml:space="preserve">. </w:t>
      </w:r>
      <w:r>
        <w:rPr>
          <w:rStyle w:val="FootnoteReference"/>
        </w:rPr>
        <w:footnoteReference w:id="25"/>
      </w:r>
    </w:p>
    <w:p w14:paraId="1D8B280B" w14:textId="77777777" w:rsidR="00F62C1B" w:rsidRPr="00F62C1B" w:rsidRDefault="00F62C1B" w:rsidP="00F62C1B">
      <w:pPr>
        <w:pStyle w:val="BodyText"/>
        <w:rPr>
          <w:rFonts w:eastAsiaTheme="minorHAnsi" w:cs="Arial"/>
          <w:lang w:val="en-AU"/>
        </w:rPr>
      </w:pPr>
      <w:r w:rsidRPr="00F62C1B">
        <w:rPr>
          <w:rFonts w:eastAsiaTheme="minorHAnsi" w:cs="Arial"/>
          <w:lang w:val="en-AU"/>
        </w:rPr>
        <w:t xml:space="preserve">Keys barriers experienced by women: </w:t>
      </w:r>
    </w:p>
    <w:p w14:paraId="7E8BE3B7" w14:textId="77777777" w:rsidR="00F62C1B" w:rsidRPr="00F62C1B" w:rsidRDefault="00F62C1B" w:rsidP="00F62C1B">
      <w:pPr>
        <w:pStyle w:val="ListParagraph"/>
        <w:numPr>
          <w:ilvl w:val="0"/>
          <w:numId w:val="42"/>
        </w:numPr>
        <w:spacing w:after="0"/>
        <w:contextualSpacing/>
        <w:rPr>
          <w:rFonts w:eastAsiaTheme="minorHAnsi" w:cs="Arial"/>
          <w:lang w:val="en-AU"/>
        </w:rPr>
      </w:pPr>
      <w:r w:rsidRPr="00F62C1B">
        <w:rPr>
          <w:rFonts w:eastAsiaTheme="minorHAnsi" w:cs="Arial"/>
          <w:lang w:val="en-AU"/>
        </w:rPr>
        <w:t xml:space="preserve">Lack of financial inclusion </w:t>
      </w:r>
    </w:p>
    <w:p w14:paraId="57ABECBF" w14:textId="77777777" w:rsidR="00F62C1B" w:rsidRPr="00F62C1B" w:rsidRDefault="00F62C1B" w:rsidP="00F62C1B">
      <w:pPr>
        <w:pStyle w:val="ListParagraph"/>
        <w:numPr>
          <w:ilvl w:val="0"/>
          <w:numId w:val="42"/>
        </w:numPr>
        <w:spacing w:after="0"/>
        <w:contextualSpacing/>
        <w:rPr>
          <w:rFonts w:eastAsiaTheme="minorHAnsi" w:cs="Arial"/>
          <w:lang w:val="en-AU"/>
        </w:rPr>
      </w:pPr>
      <w:r w:rsidRPr="00F62C1B">
        <w:rPr>
          <w:rFonts w:eastAsiaTheme="minorHAnsi" w:cs="Arial"/>
          <w:lang w:val="en-AU"/>
        </w:rPr>
        <w:t xml:space="preserve">Individual economic circumstances </w:t>
      </w:r>
    </w:p>
    <w:p w14:paraId="79A65298" w14:textId="77777777" w:rsidR="00F62C1B" w:rsidRPr="00F62C1B" w:rsidRDefault="00F62C1B" w:rsidP="00F62C1B">
      <w:pPr>
        <w:pStyle w:val="ListParagraph"/>
        <w:numPr>
          <w:ilvl w:val="0"/>
          <w:numId w:val="42"/>
        </w:numPr>
        <w:spacing w:after="0"/>
        <w:contextualSpacing/>
        <w:rPr>
          <w:rFonts w:eastAsiaTheme="minorHAnsi" w:cs="Arial"/>
          <w:lang w:val="en-AU"/>
        </w:rPr>
      </w:pPr>
      <w:r w:rsidRPr="00F62C1B">
        <w:rPr>
          <w:rFonts w:eastAsiaTheme="minorHAnsi" w:cs="Arial"/>
          <w:lang w:val="en-AU"/>
        </w:rPr>
        <w:t xml:space="preserve">Lack of financial awareness </w:t>
      </w:r>
    </w:p>
    <w:p w14:paraId="7CBB910B" w14:textId="77777777" w:rsidR="00F62C1B" w:rsidRPr="00F62C1B" w:rsidRDefault="00F62C1B" w:rsidP="00F62C1B">
      <w:pPr>
        <w:pStyle w:val="ListParagraph"/>
        <w:numPr>
          <w:ilvl w:val="0"/>
          <w:numId w:val="42"/>
        </w:numPr>
        <w:spacing w:after="0"/>
        <w:contextualSpacing/>
        <w:rPr>
          <w:rFonts w:eastAsiaTheme="minorHAnsi" w:cs="Arial"/>
          <w:lang w:val="en-AU"/>
        </w:rPr>
      </w:pPr>
      <w:r w:rsidRPr="00F62C1B">
        <w:rPr>
          <w:rFonts w:eastAsiaTheme="minorHAnsi" w:cs="Arial"/>
          <w:lang w:val="en-AU"/>
        </w:rPr>
        <w:t xml:space="preserve">Lack of digital inclusion </w:t>
      </w:r>
    </w:p>
    <w:p w14:paraId="42B84EB4" w14:textId="77777777" w:rsidR="00F62C1B" w:rsidRPr="00F62C1B" w:rsidRDefault="00F62C1B" w:rsidP="00F62C1B">
      <w:pPr>
        <w:pStyle w:val="ListParagraph"/>
        <w:numPr>
          <w:ilvl w:val="0"/>
          <w:numId w:val="42"/>
        </w:numPr>
        <w:spacing w:after="0"/>
        <w:contextualSpacing/>
        <w:rPr>
          <w:rFonts w:eastAsiaTheme="minorHAnsi" w:cs="Arial"/>
          <w:lang w:val="en-AU"/>
        </w:rPr>
      </w:pPr>
      <w:r w:rsidRPr="00F62C1B">
        <w:rPr>
          <w:rFonts w:eastAsiaTheme="minorHAnsi" w:cs="Arial"/>
          <w:lang w:val="en-AU"/>
        </w:rPr>
        <w:t xml:space="preserve">Social and cultural norms </w:t>
      </w:r>
    </w:p>
    <w:p w14:paraId="33B02509" w14:textId="77777777" w:rsidR="00F62C1B" w:rsidRPr="00F62C1B" w:rsidRDefault="00F62C1B" w:rsidP="00F62C1B">
      <w:pPr>
        <w:pStyle w:val="ListParagraph"/>
        <w:numPr>
          <w:ilvl w:val="0"/>
          <w:numId w:val="42"/>
        </w:numPr>
        <w:spacing w:after="0"/>
        <w:contextualSpacing/>
        <w:rPr>
          <w:rFonts w:eastAsiaTheme="minorHAnsi" w:cs="Arial"/>
          <w:lang w:val="en-AU"/>
        </w:rPr>
      </w:pPr>
      <w:r w:rsidRPr="00F62C1B">
        <w:rPr>
          <w:rFonts w:eastAsiaTheme="minorHAnsi" w:cs="Arial"/>
          <w:lang w:val="en-AU"/>
        </w:rPr>
        <w:t xml:space="preserve">Domestic and family violence and abuse </w:t>
      </w:r>
    </w:p>
    <w:p w14:paraId="44335152" w14:textId="1C93C4DF" w:rsidR="00F62C1B" w:rsidRPr="00F62C1B" w:rsidRDefault="00F62C1B" w:rsidP="00F62C1B">
      <w:pPr>
        <w:pStyle w:val="ListParagraph"/>
        <w:numPr>
          <w:ilvl w:val="0"/>
          <w:numId w:val="42"/>
        </w:numPr>
        <w:spacing w:after="0"/>
        <w:contextualSpacing/>
        <w:rPr>
          <w:rFonts w:eastAsiaTheme="minorHAnsi" w:cs="Arial"/>
          <w:lang w:val="en-AU"/>
        </w:rPr>
      </w:pPr>
      <w:r w:rsidRPr="00F62C1B">
        <w:rPr>
          <w:rFonts w:eastAsiaTheme="minorHAnsi" w:cs="Arial"/>
          <w:lang w:val="en-AU"/>
        </w:rPr>
        <w:t xml:space="preserve">Divorce and separation </w:t>
      </w:r>
    </w:p>
    <w:p w14:paraId="6BF46CDC" w14:textId="77777777" w:rsidR="00F62C1B" w:rsidRPr="00F62C1B" w:rsidRDefault="00F62C1B" w:rsidP="00F62C1B">
      <w:pPr>
        <w:spacing w:after="0"/>
        <w:contextualSpacing/>
        <w:rPr>
          <w:rFonts w:eastAsiaTheme="minorHAnsi" w:cs="Arial"/>
          <w:lang w:val="en-AU"/>
        </w:rPr>
      </w:pPr>
    </w:p>
    <w:p w14:paraId="0D6D9835" w14:textId="55DBE60B" w:rsidR="00F62C1B" w:rsidRPr="00F62C1B" w:rsidRDefault="00F62C1B" w:rsidP="00F62C1B">
      <w:pPr>
        <w:pStyle w:val="BodyText"/>
        <w:rPr>
          <w:rFonts w:eastAsiaTheme="minorHAnsi" w:cs="Arial"/>
          <w:lang w:val="en-AU"/>
        </w:rPr>
      </w:pPr>
      <w:r w:rsidRPr="00F62C1B">
        <w:rPr>
          <w:rFonts w:eastAsiaTheme="minorHAnsi" w:cs="Arial"/>
          <w:lang w:val="en-AU"/>
        </w:rPr>
        <w:t>Additional b</w:t>
      </w:r>
      <w:r>
        <w:rPr>
          <w:rFonts w:eastAsiaTheme="minorHAnsi" w:cs="Arial"/>
          <w:lang w:val="en-AU"/>
        </w:rPr>
        <w:t xml:space="preserve">arriers experienced by women </w:t>
      </w:r>
      <w:r w:rsidRPr="00F62C1B">
        <w:rPr>
          <w:rFonts w:eastAsiaTheme="minorHAnsi" w:cs="Arial"/>
          <w:lang w:val="en-AU"/>
        </w:rPr>
        <w:t>at the nexus of race, poverty and disability:</w:t>
      </w:r>
    </w:p>
    <w:p w14:paraId="4074D1F1" w14:textId="77777777" w:rsidR="00F62C1B" w:rsidRPr="00F62C1B" w:rsidRDefault="00F62C1B" w:rsidP="003A78BC">
      <w:pPr>
        <w:pStyle w:val="ListParagraph"/>
        <w:numPr>
          <w:ilvl w:val="0"/>
          <w:numId w:val="42"/>
        </w:numPr>
        <w:spacing w:after="0"/>
        <w:contextualSpacing/>
        <w:rPr>
          <w:rFonts w:eastAsiaTheme="minorHAnsi" w:cs="Arial"/>
          <w:lang w:val="en-AU"/>
        </w:rPr>
      </w:pPr>
      <w:r w:rsidRPr="00F62C1B">
        <w:rPr>
          <w:rFonts w:eastAsiaTheme="minorHAnsi" w:cs="Arial"/>
          <w:lang w:val="en-AU"/>
        </w:rPr>
        <w:t>Appropriate and accessible products and information</w:t>
      </w:r>
    </w:p>
    <w:p w14:paraId="5CA6D63A" w14:textId="77777777" w:rsidR="00F62C1B" w:rsidRPr="00F62C1B" w:rsidRDefault="00F62C1B" w:rsidP="003A78BC">
      <w:pPr>
        <w:pStyle w:val="ListParagraph"/>
        <w:numPr>
          <w:ilvl w:val="0"/>
          <w:numId w:val="42"/>
        </w:numPr>
        <w:spacing w:after="0"/>
        <w:contextualSpacing/>
        <w:rPr>
          <w:rFonts w:eastAsiaTheme="minorHAnsi" w:cs="Arial"/>
          <w:lang w:val="en-AU"/>
        </w:rPr>
      </w:pPr>
      <w:r w:rsidRPr="00F62C1B">
        <w:rPr>
          <w:rFonts w:eastAsiaTheme="minorHAnsi" w:cs="Arial"/>
          <w:lang w:val="en-AU"/>
        </w:rPr>
        <w:t>Lack of knowledge of Australian financial and legal system</w:t>
      </w:r>
    </w:p>
    <w:p w14:paraId="07755A72" w14:textId="77777777" w:rsidR="00F62C1B" w:rsidRPr="00F62C1B" w:rsidRDefault="00F62C1B" w:rsidP="003A78BC">
      <w:pPr>
        <w:pStyle w:val="ListParagraph"/>
        <w:numPr>
          <w:ilvl w:val="0"/>
          <w:numId w:val="42"/>
        </w:numPr>
        <w:spacing w:after="0"/>
        <w:contextualSpacing/>
        <w:rPr>
          <w:rFonts w:eastAsiaTheme="minorHAnsi" w:cs="Arial"/>
          <w:lang w:val="en-AU"/>
        </w:rPr>
      </w:pPr>
      <w:r w:rsidRPr="00F62C1B">
        <w:rPr>
          <w:rFonts w:eastAsiaTheme="minorHAnsi" w:cs="Arial"/>
          <w:lang w:val="en-AU"/>
        </w:rPr>
        <w:t xml:space="preserve">Social and cultural norms outside dominant white, colonial culture </w:t>
      </w:r>
    </w:p>
    <w:p w14:paraId="3C1B860E" w14:textId="77777777" w:rsidR="00F62C1B" w:rsidRPr="00F62C1B" w:rsidRDefault="00F62C1B" w:rsidP="003A78BC">
      <w:pPr>
        <w:pStyle w:val="ListParagraph"/>
        <w:numPr>
          <w:ilvl w:val="0"/>
          <w:numId w:val="42"/>
        </w:numPr>
        <w:spacing w:after="0"/>
        <w:contextualSpacing/>
        <w:rPr>
          <w:rFonts w:eastAsiaTheme="minorHAnsi" w:cs="Arial"/>
          <w:lang w:val="en-AU"/>
        </w:rPr>
      </w:pPr>
      <w:r w:rsidRPr="00F62C1B">
        <w:rPr>
          <w:rFonts w:eastAsiaTheme="minorHAnsi" w:cs="Arial"/>
          <w:lang w:val="en-AU"/>
        </w:rPr>
        <w:t xml:space="preserve">Inadequate income </w:t>
      </w:r>
    </w:p>
    <w:p w14:paraId="06F29B3C" w14:textId="77777777" w:rsidR="00F62C1B" w:rsidRPr="00F62C1B" w:rsidRDefault="00F62C1B" w:rsidP="003A78BC">
      <w:pPr>
        <w:pStyle w:val="ListParagraph"/>
        <w:numPr>
          <w:ilvl w:val="0"/>
          <w:numId w:val="42"/>
        </w:numPr>
        <w:spacing w:after="0"/>
        <w:contextualSpacing/>
        <w:rPr>
          <w:rFonts w:eastAsiaTheme="minorHAnsi" w:cs="Arial"/>
          <w:lang w:val="en-AU"/>
        </w:rPr>
      </w:pPr>
      <w:r w:rsidRPr="00F62C1B">
        <w:rPr>
          <w:rFonts w:eastAsiaTheme="minorHAnsi" w:cs="Arial"/>
          <w:lang w:val="en-AU"/>
        </w:rPr>
        <w:lastRenderedPageBreak/>
        <w:t xml:space="preserve">Cultural and familial obligations </w:t>
      </w:r>
    </w:p>
    <w:p w14:paraId="2439FF9A" w14:textId="77777777" w:rsidR="00F62C1B" w:rsidRPr="00F62C1B" w:rsidRDefault="00F62C1B" w:rsidP="003A78BC">
      <w:pPr>
        <w:pStyle w:val="ListParagraph"/>
        <w:numPr>
          <w:ilvl w:val="0"/>
          <w:numId w:val="42"/>
        </w:numPr>
        <w:spacing w:after="0"/>
        <w:contextualSpacing/>
        <w:rPr>
          <w:rFonts w:eastAsiaTheme="minorHAnsi" w:cs="Arial"/>
          <w:lang w:val="en-AU"/>
        </w:rPr>
      </w:pPr>
      <w:r w:rsidRPr="00F62C1B">
        <w:rPr>
          <w:rFonts w:eastAsiaTheme="minorHAnsi" w:cs="Arial"/>
          <w:lang w:val="en-AU"/>
        </w:rPr>
        <w:t xml:space="preserve">Lack of identification documents </w:t>
      </w:r>
    </w:p>
    <w:p w14:paraId="600F7044" w14:textId="77777777" w:rsidR="00F62C1B" w:rsidRPr="00F62C1B" w:rsidRDefault="00F62C1B" w:rsidP="003A78BC">
      <w:pPr>
        <w:pStyle w:val="ListParagraph"/>
        <w:numPr>
          <w:ilvl w:val="0"/>
          <w:numId w:val="42"/>
        </w:numPr>
        <w:spacing w:after="0"/>
        <w:contextualSpacing/>
        <w:rPr>
          <w:rFonts w:eastAsiaTheme="minorHAnsi" w:cs="Arial"/>
          <w:lang w:val="en-AU"/>
        </w:rPr>
      </w:pPr>
      <w:r w:rsidRPr="00F62C1B">
        <w:rPr>
          <w:rFonts w:eastAsiaTheme="minorHAnsi" w:cs="Arial"/>
          <w:lang w:val="en-AU"/>
        </w:rPr>
        <w:t xml:space="preserve">State and Policy enforced economic marginalisation </w:t>
      </w:r>
    </w:p>
    <w:p w14:paraId="3A8F9327" w14:textId="2667F3BD" w:rsidR="002C741A" w:rsidRPr="00B72FB3" w:rsidRDefault="00C54F45" w:rsidP="002C741A">
      <w:pPr>
        <w:pStyle w:val="Heading3"/>
      </w:pPr>
      <w:r>
        <w:t>Financial c</w:t>
      </w:r>
      <w:r w:rsidR="002C741A" w:rsidRPr="00B72FB3">
        <w:t>apability behaviours and skills</w:t>
      </w:r>
      <w:bookmarkEnd w:id="8"/>
    </w:p>
    <w:p w14:paraId="5B4958A5" w14:textId="3F5B1FAE" w:rsidR="002C741A" w:rsidRDefault="002C741A" w:rsidP="002921A9">
      <w:r w:rsidRPr="00B72FB3">
        <w:t xml:space="preserve">While various international and </w:t>
      </w:r>
      <w:r w:rsidRPr="00C71216">
        <w:rPr>
          <w:color w:val="000000" w:themeColor="text1"/>
        </w:rPr>
        <w:t xml:space="preserve">local approaches </w:t>
      </w:r>
      <w:r w:rsidR="002921A9" w:rsidRPr="00C71216">
        <w:rPr>
          <w:color w:val="000000" w:themeColor="text1"/>
        </w:rPr>
        <w:t>to financial capability exist Fig</w:t>
      </w:r>
      <w:r w:rsidRPr="00C71216">
        <w:rPr>
          <w:color w:val="000000" w:themeColor="text1"/>
        </w:rPr>
        <w:t xml:space="preserve">ure 1 </w:t>
      </w:r>
      <w:r w:rsidR="008C0755">
        <w:rPr>
          <w:color w:val="000000" w:themeColor="text1"/>
        </w:rPr>
        <w:t xml:space="preserve">(pg.10) </w:t>
      </w:r>
      <w:r w:rsidRPr="00C71216">
        <w:rPr>
          <w:color w:val="000000" w:themeColor="text1"/>
        </w:rPr>
        <w:t>chart</w:t>
      </w:r>
      <w:r w:rsidR="002921A9" w:rsidRPr="00C71216">
        <w:rPr>
          <w:color w:val="000000" w:themeColor="text1"/>
        </w:rPr>
        <w:t xml:space="preserve">s </w:t>
      </w:r>
      <w:r w:rsidR="00C71216" w:rsidRPr="00C71216">
        <w:rPr>
          <w:color w:val="000000" w:themeColor="text1"/>
        </w:rPr>
        <w:t xml:space="preserve">the commonalties </w:t>
      </w:r>
      <w:r w:rsidR="00C71216">
        <w:rPr>
          <w:color w:val="000000" w:themeColor="text1"/>
        </w:rPr>
        <w:t>in c</w:t>
      </w:r>
      <w:r w:rsidR="00C71216" w:rsidRPr="00C71216">
        <w:rPr>
          <w:color w:val="000000" w:themeColor="text1"/>
        </w:rPr>
        <w:t xml:space="preserve">omponents of financial capability and overarching necessary </w:t>
      </w:r>
      <w:r w:rsidR="00C71216">
        <w:rPr>
          <w:color w:val="000000" w:themeColor="text1"/>
        </w:rPr>
        <w:t>conditions</w:t>
      </w:r>
      <w:r w:rsidR="00C71216">
        <w:t xml:space="preserve"> to</w:t>
      </w:r>
      <w:r w:rsidR="002934F9">
        <w:t xml:space="preserve"> achieving f</w:t>
      </w:r>
      <w:r w:rsidRPr="00B72FB3">
        <w:t>in</w:t>
      </w:r>
      <w:r w:rsidR="002934F9">
        <w:t>ancial c</w:t>
      </w:r>
      <w:r w:rsidR="002921A9">
        <w:t xml:space="preserve">apability. </w:t>
      </w:r>
    </w:p>
    <w:p w14:paraId="6287DEBD" w14:textId="77777777" w:rsidR="00271D3A" w:rsidRPr="009E225B" w:rsidRDefault="00271D3A" w:rsidP="00271D3A">
      <w:pPr>
        <w:pStyle w:val="Heading3"/>
        <w:rPr>
          <w:sz w:val="16"/>
          <w:szCs w:val="16"/>
        </w:rPr>
      </w:pPr>
      <w:r w:rsidRPr="00B72FB3">
        <w:t>What works? Imp</w:t>
      </w:r>
      <w:r>
        <w:t xml:space="preserve">roving financial capabilities </w:t>
      </w:r>
    </w:p>
    <w:p w14:paraId="1178E6BC" w14:textId="75514835" w:rsidR="00271D3A" w:rsidRPr="00B72FB3" w:rsidRDefault="00271D3A" w:rsidP="00271D3A">
      <w:r w:rsidRPr="00B72FB3">
        <w:t>Successful programs to help individuals with financial capability include jus</w:t>
      </w:r>
      <w:r w:rsidR="002A3190">
        <w:t>t-in-time education, incentivising</w:t>
      </w:r>
      <w:r w:rsidRPr="00B72FB3">
        <w:t xml:space="preserve"> financial education through financial products, one-on-one counselling or coaching</w:t>
      </w:r>
      <w:r w:rsidR="002A3190">
        <w:t>,</w:t>
      </w:r>
      <w:r w:rsidRPr="00B72FB3">
        <w:t xml:space="preserve"> and longer term programs with top ups and nudges. Successful programs focus on existing strengths, financial awareness confidence and problem solving skills. </w:t>
      </w:r>
    </w:p>
    <w:p w14:paraId="7015194C" w14:textId="77777777" w:rsidR="00F62C1B" w:rsidRDefault="002A3190" w:rsidP="001A5BD0">
      <w:pPr>
        <w:rPr>
          <w:bCs/>
        </w:rPr>
      </w:pPr>
      <w:r>
        <w:t>It is also important that s</w:t>
      </w:r>
      <w:r w:rsidR="00271D3A" w:rsidRPr="00B72FB3">
        <w:t xml:space="preserve">uccessful </w:t>
      </w:r>
      <w:r>
        <w:t xml:space="preserve">programs </w:t>
      </w:r>
      <w:r w:rsidR="00271D3A" w:rsidRPr="00B72FB3">
        <w:rPr>
          <w:bCs/>
        </w:rPr>
        <w:t xml:space="preserve">address </w:t>
      </w:r>
      <w:r>
        <w:rPr>
          <w:bCs/>
        </w:rPr>
        <w:t xml:space="preserve">the </w:t>
      </w:r>
      <w:r w:rsidR="00271D3A" w:rsidRPr="00B72FB3">
        <w:rPr>
          <w:bCs/>
        </w:rPr>
        <w:t xml:space="preserve">difficulty living on available income; </w:t>
      </w:r>
      <w:r>
        <w:rPr>
          <w:bCs/>
        </w:rPr>
        <w:t xml:space="preserve">include </w:t>
      </w:r>
      <w:r w:rsidR="00271D3A" w:rsidRPr="00B72FB3">
        <w:rPr>
          <w:bCs/>
        </w:rPr>
        <w:t>domestic and family violence (DFV) informed programs; and</w:t>
      </w:r>
      <w:r>
        <w:rPr>
          <w:bCs/>
        </w:rPr>
        <w:t xml:space="preserve"> are based on</w:t>
      </w:r>
      <w:r w:rsidR="00271D3A" w:rsidRPr="00B72FB3">
        <w:rPr>
          <w:bCs/>
        </w:rPr>
        <w:t xml:space="preserve"> inclusivity</w:t>
      </w:r>
      <w:r>
        <w:rPr>
          <w:bCs/>
        </w:rPr>
        <w:t xml:space="preserve"> and regard for</w:t>
      </w:r>
      <w:r w:rsidR="00271D3A" w:rsidRPr="00B72FB3">
        <w:rPr>
          <w:bCs/>
        </w:rPr>
        <w:t xml:space="preserve"> cultural norms.</w:t>
      </w:r>
    </w:p>
    <w:p w14:paraId="0D245311" w14:textId="312C4A76" w:rsidR="00271D3A" w:rsidRPr="001A5BD0" w:rsidRDefault="003A78BC" w:rsidP="001A5BD0">
      <w:pPr>
        <w:rPr>
          <w:bCs/>
        </w:rPr>
        <w:sectPr w:rsidR="00271D3A" w:rsidRPr="001A5BD0" w:rsidSect="006879EF">
          <w:headerReference w:type="even" r:id="rId10"/>
          <w:headerReference w:type="default" r:id="rId11"/>
          <w:footerReference w:type="even" r:id="rId12"/>
          <w:footerReference w:type="default" r:id="rId13"/>
          <w:headerReference w:type="first" r:id="rId14"/>
          <w:footerReference w:type="first" r:id="rId15"/>
          <w:type w:val="oddPage"/>
          <w:pgSz w:w="11899" w:h="16840" w:code="9"/>
          <w:pgMar w:top="1134" w:right="1440" w:bottom="1440" w:left="1440" w:header="851" w:footer="567" w:gutter="0"/>
          <w:cols w:space="708"/>
          <w:titlePg/>
          <w:docGrid w:linePitch="360"/>
        </w:sectPr>
      </w:pPr>
      <w:r>
        <w:rPr>
          <w:bCs/>
        </w:rPr>
        <w:t xml:space="preserve">For further </w:t>
      </w:r>
      <w:r w:rsidR="00F62C1B">
        <w:rPr>
          <w:bCs/>
        </w:rPr>
        <w:t xml:space="preserve">exploration of these approaches </w:t>
      </w:r>
      <w:r w:rsidR="00F62C1B" w:rsidRPr="003A78BC">
        <w:rPr>
          <w:bCs/>
        </w:rPr>
        <w:t xml:space="preserve">see the Literature Review. </w:t>
      </w:r>
      <w:r w:rsidR="001A5BD0">
        <w:br w:type="page"/>
      </w:r>
    </w:p>
    <w:p w14:paraId="5172530B" w14:textId="5BE23637" w:rsidR="00271D3A" w:rsidRPr="00273BBC" w:rsidRDefault="00271D3A" w:rsidP="00271D3A">
      <w:pPr>
        <w:pStyle w:val="Caption"/>
        <w:rPr>
          <w:rFonts w:ascii="Quicksand" w:hAnsi="Quicksand"/>
          <w:b/>
          <w:color w:val="000000" w:themeColor="text1"/>
          <w:sz w:val="22"/>
          <w:szCs w:val="22"/>
        </w:rPr>
      </w:pPr>
      <w:r w:rsidRPr="00273BBC">
        <w:rPr>
          <w:rFonts w:ascii="Quicksand" w:hAnsi="Quicksand"/>
          <w:b/>
          <w:color w:val="000000" w:themeColor="text1"/>
          <w:sz w:val="22"/>
          <w:szCs w:val="22"/>
        </w:rPr>
        <w:lastRenderedPageBreak/>
        <w:t xml:space="preserve">Figure </w:t>
      </w:r>
      <w:r w:rsidRPr="00273BBC">
        <w:rPr>
          <w:rFonts w:ascii="Quicksand" w:hAnsi="Quicksand"/>
          <w:b/>
          <w:noProof/>
          <w:color w:val="000000" w:themeColor="text1"/>
          <w:sz w:val="22"/>
          <w:szCs w:val="22"/>
        </w:rPr>
        <w:fldChar w:fldCharType="begin"/>
      </w:r>
      <w:r w:rsidRPr="00273BBC">
        <w:rPr>
          <w:rFonts w:ascii="Quicksand" w:hAnsi="Quicksand"/>
          <w:b/>
          <w:noProof/>
          <w:color w:val="000000" w:themeColor="text1"/>
          <w:sz w:val="22"/>
          <w:szCs w:val="22"/>
        </w:rPr>
        <w:instrText xml:space="preserve"> SEQ Figure \* ARABIC </w:instrText>
      </w:r>
      <w:r w:rsidRPr="00273BBC">
        <w:rPr>
          <w:rFonts w:ascii="Quicksand" w:hAnsi="Quicksand"/>
          <w:b/>
          <w:noProof/>
          <w:color w:val="000000" w:themeColor="text1"/>
          <w:sz w:val="22"/>
          <w:szCs w:val="22"/>
        </w:rPr>
        <w:fldChar w:fldCharType="separate"/>
      </w:r>
      <w:r w:rsidR="006E0804">
        <w:rPr>
          <w:rFonts w:ascii="Quicksand" w:hAnsi="Quicksand"/>
          <w:b/>
          <w:noProof/>
          <w:color w:val="000000" w:themeColor="text1"/>
          <w:sz w:val="22"/>
          <w:szCs w:val="22"/>
        </w:rPr>
        <w:t>1</w:t>
      </w:r>
      <w:r w:rsidRPr="00273BBC">
        <w:rPr>
          <w:rFonts w:ascii="Quicksand" w:hAnsi="Quicksand"/>
          <w:b/>
          <w:noProof/>
          <w:color w:val="000000" w:themeColor="text1"/>
          <w:sz w:val="22"/>
          <w:szCs w:val="22"/>
        </w:rPr>
        <w:fldChar w:fldCharType="end"/>
      </w:r>
      <w:r w:rsidRPr="00273BBC">
        <w:rPr>
          <w:rFonts w:ascii="Quicksand" w:hAnsi="Quicksand"/>
          <w:b/>
          <w:color w:val="000000" w:themeColor="text1"/>
          <w:sz w:val="22"/>
          <w:szCs w:val="22"/>
        </w:rPr>
        <w:t>. Components of financial capability and overarching necessary conditions</w:t>
      </w:r>
    </w:p>
    <w:p w14:paraId="16248A7A" w14:textId="77777777" w:rsidR="00271D3A" w:rsidRDefault="00271D3A" w:rsidP="00D910B5">
      <w:pPr>
        <w:ind w:firstLine="993"/>
      </w:pPr>
      <w:r>
        <w:object w:dxaOrig="16633" w:dyaOrig="11005" w14:anchorId="2A5D1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75pt;height:387pt" o:ole="">
            <v:imagedata r:id="rId16" o:title=""/>
          </v:shape>
          <o:OLEObject Type="Embed" ProgID="Visio.Drawing.15" ShapeID="_x0000_i1025" DrawAspect="Content" ObjectID="_1653827998" r:id="rId17"/>
        </w:object>
      </w:r>
      <w:r>
        <w:t xml:space="preserve"> </w:t>
      </w:r>
    </w:p>
    <w:p w14:paraId="7BC98C53" w14:textId="22C9B35C" w:rsidR="00743F97" w:rsidRPr="00271D3A" w:rsidRDefault="00271D3A" w:rsidP="00271D3A">
      <w:r w:rsidRPr="00B72FB3">
        <w:rPr>
          <w:sz w:val="16"/>
          <w:szCs w:val="16"/>
        </w:rPr>
        <w:t>*Note that in the necessary pre-requisites ‘Opportunity’ includes the equitable access</w:t>
      </w:r>
      <w:r w:rsidR="008879A3">
        <w:rPr>
          <w:sz w:val="16"/>
          <w:szCs w:val="16"/>
        </w:rPr>
        <w:t xml:space="preserve"> to adequate income and income decision making.</w:t>
      </w:r>
    </w:p>
    <w:p w14:paraId="02A369C4" w14:textId="77777777" w:rsidR="00271D3A" w:rsidRDefault="00271D3A" w:rsidP="002C741A">
      <w:pPr>
        <w:pStyle w:val="Heading1"/>
        <w:rPr>
          <w:rFonts w:eastAsia="Times New Roman"/>
        </w:rPr>
        <w:sectPr w:rsidR="00271D3A" w:rsidSect="00324986">
          <w:pgSz w:w="16840" w:h="11899" w:orient="landscape" w:code="9"/>
          <w:pgMar w:top="1440" w:right="1134" w:bottom="1440" w:left="1440" w:header="851" w:footer="567" w:gutter="0"/>
          <w:cols w:space="708"/>
          <w:titlePg/>
          <w:docGrid w:linePitch="360"/>
        </w:sectPr>
      </w:pPr>
      <w:bookmarkStart w:id="9" w:name="_Toc33099975"/>
    </w:p>
    <w:p w14:paraId="391DECF5" w14:textId="6473B0D2" w:rsidR="002C741A" w:rsidRPr="00C12E15" w:rsidRDefault="00080657" w:rsidP="00C12E15">
      <w:pPr>
        <w:pStyle w:val="Heading2"/>
      </w:pPr>
      <w:r w:rsidRPr="00C12E15">
        <w:lastRenderedPageBreak/>
        <w:t xml:space="preserve">Analysis of </w:t>
      </w:r>
      <w:r w:rsidR="00C54F45">
        <w:rPr>
          <w:rStyle w:val="Heading2Char"/>
          <w:b/>
        </w:rPr>
        <w:t>m</w:t>
      </w:r>
      <w:r w:rsidRPr="00C12E15">
        <w:rPr>
          <w:rStyle w:val="Heading2Char"/>
          <w:b/>
        </w:rPr>
        <w:t>apping</w:t>
      </w:r>
      <w:r w:rsidR="00C54F45">
        <w:t xml:space="preserve"> of existing s</w:t>
      </w:r>
      <w:r w:rsidR="002C741A" w:rsidRPr="00C12E15">
        <w:t>ervices</w:t>
      </w:r>
      <w:bookmarkEnd w:id="9"/>
      <w:r w:rsidR="002C741A" w:rsidRPr="00C12E15">
        <w:t xml:space="preserve"> </w:t>
      </w:r>
    </w:p>
    <w:p w14:paraId="25B76952" w14:textId="7B2274B8" w:rsidR="00E96A48" w:rsidRPr="00B72FB3" w:rsidRDefault="00E96A48" w:rsidP="00E96A48">
      <w:pPr>
        <w:spacing w:line="252" w:lineRule="auto"/>
        <w:contextualSpacing/>
      </w:pPr>
      <w:r w:rsidRPr="00B72FB3">
        <w:t>The</w:t>
      </w:r>
      <w:r w:rsidR="00921BED">
        <w:t xml:space="preserve"> f</w:t>
      </w:r>
      <w:r w:rsidR="00080657">
        <w:t xml:space="preserve">inancial </w:t>
      </w:r>
      <w:r w:rsidR="00921BED">
        <w:t>c</w:t>
      </w:r>
      <w:r w:rsidR="00080657">
        <w:t>apability</w:t>
      </w:r>
      <w:r w:rsidR="00921BED">
        <w:t xml:space="preserve"> m</w:t>
      </w:r>
      <w:r w:rsidRPr="00B72FB3">
        <w:t>apping process identified</w:t>
      </w:r>
      <w:r w:rsidR="006521F4">
        <w:t xml:space="preserve"> several key financial capability </w:t>
      </w:r>
      <w:r w:rsidRPr="00B72FB3">
        <w:t xml:space="preserve">programs and services across Australia </w:t>
      </w:r>
      <w:r w:rsidR="006521F4">
        <w:t>to give</w:t>
      </w:r>
      <w:r w:rsidRPr="00B72FB3">
        <w:t xml:space="preserve"> a picture of what is available, what works and what is missing. The mapping captured evaluations of 30 programs and resources between 2014 – 2019, looking at key learnings and challenges, and current deliveries.</w:t>
      </w:r>
    </w:p>
    <w:p w14:paraId="0850408A" w14:textId="77777777" w:rsidR="00E96A48" w:rsidRPr="00B72FB3" w:rsidRDefault="00E96A48" w:rsidP="00E96A48">
      <w:pPr>
        <w:spacing w:line="252" w:lineRule="auto"/>
        <w:contextualSpacing/>
      </w:pPr>
    </w:p>
    <w:p w14:paraId="09C8A822" w14:textId="77777777" w:rsidR="00E96A48" w:rsidRPr="00B72FB3" w:rsidRDefault="00E96A48" w:rsidP="00E96A48">
      <w:pPr>
        <w:spacing w:line="252" w:lineRule="auto"/>
        <w:contextualSpacing/>
        <w:rPr>
          <w:rFonts w:cs="Arial"/>
        </w:rPr>
      </w:pPr>
      <w:r w:rsidRPr="00B72FB3">
        <w:rPr>
          <w:rFonts w:cs="Arial"/>
        </w:rPr>
        <w:t>When mapping the services the following elements were considered:</w:t>
      </w:r>
    </w:p>
    <w:p w14:paraId="71E6C417" w14:textId="77777777" w:rsidR="00E96A48" w:rsidRPr="003A78BC" w:rsidRDefault="00E96A48"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Format of delivery</w:t>
      </w:r>
    </w:p>
    <w:p w14:paraId="3CFD98D9" w14:textId="6CC6D8A5" w:rsidR="00E96A48" w:rsidRPr="003A78BC" w:rsidRDefault="00D910B5"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Was it c</w:t>
      </w:r>
      <w:r w:rsidR="00E96A48" w:rsidRPr="003A78BC">
        <w:rPr>
          <w:rFonts w:eastAsiaTheme="minorHAnsi" w:cs="Arial"/>
          <w:lang w:val="en-AU"/>
        </w:rPr>
        <w:t>o-designed</w:t>
      </w:r>
      <w:r w:rsidR="006521F4" w:rsidRPr="003A78BC">
        <w:rPr>
          <w:rFonts w:eastAsiaTheme="minorHAnsi" w:cs="Arial"/>
          <w:lang w:val="en-AU"/>
        </w:rPr>
        <w:t>?</w:t>
      </w:r>
    </w:p>
    <w:p w14:paraId="67DD8549" w14:textId="2372306C" w:rsidR="00E96A48" w:rsidRPr="003A78BC" w:rsidRDefault="00E96A48"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Does it have a gender lens</w:t>
      </w:r>
      <w:r w:rsidR="006521F4" w:rsidRPr="003A78BC">
        <w:rPr>
          <w:rFonts w:eastAsiaTheme="minorHAnsi" w:cs="Arial"/>
          <w:lang w:val="en-AU"/>
        </w:rPr>
        <w:t>?</w:t>
      </w:r>
    </w:p>
    <w:p w14:paraId="384F3429" w14:textId="6EB86A16" w:rsidR="00E96A48" w:rsidRPr="003A78BC" w:rsidRDefault="00E96A48"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 xml:space="preserve">Is it </w:t>
      </w:r>
      <w:r w:rsidR="00B8669C" w:rsidRPr="003A78BC">
        <w:rPr>
          <w:rFonts w:eastAsiaTheme="minorHAnsi" w:cs="Arial"/>
          <w:lang w:val="en-AU"/>
        </w:rPr>
        <w:t>cohort</w:t>
      </w:r>
      <w:r w:rsidRPr="003A78BC">
        <w:rPr>
          <w:rFonts w:eastAsiaTheme="minorHAnsi" w:cs="Arial"/>
          <w:lang w:val="en-AU"/>
        </w:rPr>
        <w:t xml:space="preserve"> specific</w:t>
      </w:r>
      <w:r w:rsidR="006521F4" w:rsidRPr="003A78BC">
        <w:rPr>
          <w:rFonts w:eastAsiaTheme="minorHAnsi" w:cs="Arial"/>
          <w:lang w:val="en-AU"/>
        </w:rPr>
        <w:t>?</w:t>
      </w:r>
    </w:p>
    <w:p w14:paraId="5190DF49" w14:textId="33CAB971" w:rsidR="00E96A48" w:rsidRPr="003A78BC" w:rsidRDefault="00E96A48"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Does it consider disability and accessibility</w:t>
      </w:r>
      <w:r w:rsidR="006521F4" w:rsidRPr="003A78BC">
        <w:rPr>
          <w:rFonts w:eastAsiaTheme="minorHAnsi" w:cs="Arial"/>
          <w:lang w:val="en-AU"/>
        </w:rPr>
        <w:t>?</w:t>
      </w:r>
    </w:p>
    <w:p w14:paraId="3DD2DDEB" w14:textId="396E8829" w:rsidR="00E96A48" w:rsidRPr="003A78BC" w:rsidRDefault="00E96A48"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 xml:space="preserve">Does </w:t>
      </w:r>
      <w:r w:rsidR="006521F4" w:rsidRPr="003A78BC">
        <w:rPr>
          <w:rFonts w:eastAsiaTheme="minorHAnsi" w:cs="Arial"/>
          <w:lang w:val="en-AU"/>
        </w:rPr>
        <w:t>it consider financial abuse?</w:t>
      </w:r>
    </w:p>
    <w:p w14:paraId="5D985783" w14:textId="77777777" w:rsidR="00E96A48" w:rsidRPr="003A78BC" w:rsidRDefault="00E96A48"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 xml:space="preserve">Has it been evaluated? </w:t>
      </w:r>
    </w:p>
    <w:p w14:paraId="38621FF2" w14:textId="77777777" w:rsidR="00E96A48" w:rsidRDefault="00E96A48" w:rsidP="00E96A48">
      <w:pPr>
        <w:spacing w:line="252" w:lineRule="auto"/>
        <w:contextualSpacing/>
      </w:pPr>
    </w:p>
    <w:p w14:paraId="27705B36" w14:textId="77777777" w:rsidR="00E96A48" w:rsidRPr="00B72FB3" w:rsidRDefault="00E96A48" w:rsidP="00E96A48">
      <w:pPr>
        <w:spacing w:line="252" w:lineRule="auto"/>
        <w:contextualSpacing/>
      </w:pPr>
      <w:r w:rsidRPr="00B72FB3">
        <w:t>The mapping looked at three main categories:</w:t>
      </w:r>
    </w:p>
    <w:p w14:paraId="1C67E75C" w14:textId="77777777" w:rsidR="00E96A48" w:rsidRPr="003A78BC" w:rsidRDefault="00E96A48"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Websites and telephone hotlines for the general public</w:t>
      </w:r>
    </w:p>
    <w:p w14:paraId="59236580" w14:textId="77777777" w:rsidR="00E96A48" w:rsidRPr="003A78BC" w:rsidRDefault="00E96A48"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Training and capacity building for identified users</w:t>
      </w:r>
    </w:p>
    <w:p w14:paraId="3DF9B85E" w14:textId="77777777" w:rsidR="00E96A48" w:rsidRDefault="00E96A48"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Training and professional development for the workforce, specifically the community sector</w:t>
      </w:r>
    </w:p>
    <w:p w14:paraId="2034920D" w14:textId="77777777" w:rsidR="003A78BC" w:rsidRPr="003A78BC" w:rsidRDefault="003A78BC" w:rsidP="003A78BC">
      <w:pPr>
        <w:pStyle w:val="ListParagraph"/>
        <w:numPr>
          <w:ilvl w:val="0"/>
          <w:numId w:val="0"/>
        </w:numPr>
        <w:spacing w:after="0"/>
        <w:ind w:left="720"/>
        <w:contextualSpacing/>
        <w:rPr>
          <w:rFonts w:eastAsiaTheme="minorHAnsi" w:cs="Arial"/>
          <w:lang w:val="en-AU"/>
        </w:rPr>
      </w:pPr>
    </w:p>
    <w:p w14:paraId="1109361E" w14:textId="77777777" w:rsidR="00E96A48" w:rsidRDefault="00E96A48" w:rsidP="00E96A48">
      <w:pPr>
        <w:tabs>
          <w:tab w:val="left" w:pos="2552"/>
        </w:tabs>
      </w:pPr>
      <w:r w:rsidRPr="00B72FB3">
        <w:rPr>
          <w:rFonts w:cs="Arial"/>
        </w:rPr>
        <w:t xml:space="preserve">Analysis of the mapped services and programs show that there are several key face-to-face and digital financial capability programs which would be worth considering as </w:t>
      </w:r>
      <w:r>
        <w:rPr>
          <w:rFonts w:cs="Arial"/>
        </w:rPr>
        <w:t xml:space="preserve">best practice within Victoria. </w:t>
      </w:r>
      <w:r w:rsidRPr="00B72FB3">
        <w:t>The mapping also revealed that while several successful programs for women exist there is a lack of programs in Victoria co-designed with women with a disability, created specifically for First Nations Women, or with lived-expe</w:t>
      </w:r>
      <w:r>
        <w:t xml:space="preserve">rience facilitators delivering. </w:t>
      </w:r>
      <w:r w:rsidRPr="00B72FB3">
        <w:t xml:space="preserve">There was also a gap between financial crisis help and services, and timely access to programs or products that prevent financial hardship. </w:t>
      </w:r>
    </w:p>
    <w:p w14:paraId="00878739" w14:textId="3900014C" w:rsidR="005843BE" w:rsidRDefault="00E96A48" w:rsidP="005843BE">
      <w:r w:rsidRPr="00B72FB3">
        <w:t>This highlights the nee</w:t>
      </w:r>
      <w:r w:rsidR="00921BED">
        <w:t>d for further co-design to refine</w:t>
      </w:r>
      <w:r w:rsidRPr="00B72FB3">
        <w:t xml:space="preserve"> existing programs and products to make them more appropriate and accessible to the focus communities, while also training women from these communities to facilitate the face-to-face learning programs.  </w:t>
      </w:r>
    </w:p>
    <w:p w14:paraId="0A32DB39" w14:textId="1F8A98B7" w:rsidR="001B7C8A" w:rsidRDefault="005843BE" w:rsidP="005843BE">
      <w:pPr>
        <w:rPr>
          <w:rFonts w:cstheme="minorHAnsi"/>
        </w:rPr>
      </w:pPr>
      <w:r>
        <w:rPr>
          <w:rFonts w:cstheme="minorHAnsi"/>
        </w:rPr>
        <w:t>Of the</w:t>
      </w:r>
      <w:r w:rsidRPr="00B72FB3">
        <w:rPr>
          <w:rFonts w:cstheme="minorHAnsi"/>
        </w:rPr>
        <w:t xml:space="preserve"> programs </w:t>
      </w:r>
      <w:r>
        <w:rPr>
          <w:rFonts w:cstheme="minorHAnsi"/>
        </w:rPr>
        <w:t xml:space="preserve">which </w:t>
      </w:r>
      <w:r w:rsidRPr="00B72FB3">
        <w:rPr>
          <w:rFonts w:cstheme="minorHAnsi"/>
        </w:rPr>
        <w:t>have been evaluated and demonstrate success in increasing women’s financial capability</w:t>
      </w:r>
      <w:r>
        <w:rPr>
          <w:rFonts w:cstheme="minorHAnsi"/>
        </w:rPr>
        <w:t xml:space="preserve"> across our focus </w:t>
      </w:r>
      <w:r w:rsidR="00B8669C">
        <w:rPr>
          <w:rFonts w:cstheme="minorHAnsi"/>
        </w:rPr>
        <w:t>cohort</w:t>
      </w:r>
      <w:r>
        <w:rPr>
          <w:rFonts w:cstheme="minorHAnsi"/>
        </w:rPr>
        <w:t xml:space="preserve">s, we have selected several to further engage in the </w:t>
      </w:r>
      <w:r w:rsidR="001B7C8A">
        <w:rPr>
          <w:rFonts w:cstheme="minorHAnsi"/>
        </w:rPr>
        <w:t xml:space="preserve">development of the </w:t>
      </w:r>
      <w:r w:rsidR="006879EF">
        <w:rPr>
          <w:rFonts w:cstheme="minorHAnsi"/>
        </w:rPr>
        <w:t>WFCP</w:t>
      </w:r>
      <w:r w:rsidR="001B7C8A">
        <w:rPr>
          <w:rFonts w:cstheme="minorHAnsi"/>
        </w:rPr>
        <w:t>, as below in Table 1</w:t>
      </w:r>
      <w:r w:rsidR="008C0755">
        <w:rPr>
          <w:rFonts w:cstheme="minorHAnsi"/>
        </w:rPr>
        <w:t xml:space="preserve"> (pg.12).</w:t>
      </w:r>
    </w:p>
    <w:p w14:paraId="746DDA94" w14:textId="5C10BE92" w:rsidR="005843BE" w:rsidRPr="005843BE" w:rsidRDefault="005843BE" w:rsidP="003A78BC">
      <w:pPr>
        <w:pStyle w:val="BodyText"/>
      </w:pPr>
      <w:r>
        <w:t xml:space="preserve">These </w:t>
      </w:r>
      <w:r w:rsidRPr="00B72FB3">
        <w:t>existing fi</w:t>
      </w:r>
      <w:r>
        <w:t>nancial capability programs</w:t>
      </w:r>
      <w:r w:rsidRPr="00B72FB3">
        <w:t xml:space="preserve"> have been identified as programs that we will work with to </w:t>
      </w:r>
      <w:r>
        <w:rPr>
          <w:rFonts w:cs="Arial"/>
        </w:rPr>
        <w:t>build upon and increase their success and reach by</w:t>
      </w:r>
      <w:r>
        <w:t>:</w:t>
      </w:r>
    </w:p>
    <w:p w14:paraId="0A2574F5" w14:textId="77777777" w:rsidR="005843BE" w:rsidRPr="003A78BC" w:rsidRDefault="005843BE"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 xml:space="preserve">Increasing awareness in sector and community </w:t>
      </w:r>
    </w:p>
    <w:p w14:paraId="5A04A183" w14:textId="43ED40C1" w:rsidR="005843BE" w:rsidRPr="003A78BC" w:rsidRDefault="005843BE"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 xml:space="preserve">Creating pathways for our focus </w:t>
      </w:r>
      <w:r w:rsidR="00B8669C" w:rsidRPr="003A78BC">
        <w:rPr>
          <w:rFonts w:eastAsiaTheme="minorHAnsi" w:cs="Arial"/>
          <w:lang w:val="en-AU"/>
        </w:rPr>
        <w:t>cohort</w:t>
      </w:r>
      <w:r w:rsidRPr="003A78BC">
        <w:rPr>
          <w:rFonts w:eastAsiaTheme="minorHAnsi" w:cs="Arial"/>
          <w:lang w:val="en-AU"/>
        </w:rPr>
        <w:t>s</w:t>
      </w:r>
    </w:p>
    <w:p w14:paraId="7EB4F581" w14:textId="0A8D386A" w:rsidR="005843BE" w:rsidRPr="003A78BC" w:rsidRDefault="00921BED"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Using co-design to refine</w:t>
      </w:r>
      <w:r w:rsidR="005843BE" w:rsidRPr="003A78BC">
        <w:rPr>
          <w:rFonts w:eastAsiaTheme="minorHAnsi" w:cs="Arial"/>
          <w:lang w:val="en-AU"/>
        </w:rPr>
        <w:t xml:space="preserve"> content and/or delivery to be more culturally appropriate and accessible and/ or</w:t>
      </w:r>
    </w:p>
    <w:p w14:paraId="7F3B4AAC" w14:textId="77777777" w:rsidR="005843BE" w:rsidRPr="003A78BC" w:rsidRDefault="005843BE"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Enhancing success through facilitation by a lived-experience facilitator.</w:t>
      </w:r>
    </w:p>
    <w:p w14:paraId="75FD85D3" w14:textId="77777777" w:rsidR="005843BE" w:rsidRPr="00B72FB3" w:rsidRDefault="005843BE" w:rsidP="005843BE">
      <w:pPr>
        <w:rPr>
          <w:rFonts w:cs="Arial"/>
        </w:rPr>
      </w:pPr>
    </w:p>
    <w:p w14:paraId="25DB1AB3" w14:textId="77777777" w:rsidR="008C0755" w:rsidRDefault="008C0755" w:rsidP="00E96A48">
      <w:pPr>
        <w:tabs>
          <w:tab w:val="left" w:pos="2552"/>
        </w:tabs>
        <w:rPr>
          <w:b/>
          <w:i/>
        </w:rPr>
      </w:pPr>
    </w:p>
    <w:p w14:paraId="50AEBFAA" w14:textId="6E4522B2" w:rsidR="00E96A48" w:rsidRPr="00273BBC" w:rsidRDefault="005843BE" w:rsidP="00E96A48">
      <w:pPr>
        <w:tabs>
          <w:tab w:val="left" w:pos="2552"/>
        </w:tabs>
        <w:rPr>
          <w:b/>
          <w:i/>
        </w:rPr>
      </w:pPr>
      <w:r w:rsidRPr="00273BBC">
        <w:rPr>
          <w:b/>
          <w:i/>
        </w:rPr>
        <w:t xml:space="preserve">Table 1. </w:t>
      </w:r>
      <w:r w:rsidR="00273BBC">
        <w:rPr>
          <w:b/>
          <w:i/>
        </w:rPr>
        <w:t xml:space="preserve">Evaluated programs for further </w:t>
      </w:r>
      <w:r w:rsidR="006879EF">
        <w:rPr>
          <w:b/>
          <w:i/>
        </w:rPr>
        <w:t>WFCP</w:t>
      </w:r>
      <w:r w:rsidR="00273BBC">
        <w:rPr>
          <w:b/>
          <w:i/>
        </w:rPr>
        <w:t xml:space="preserve"> engagement </w:t>
      </w:r>
    </w:p>
    <w:tbl>
      <w:tblPr>
        <w:tblStyle w:val="TableGrid"/>
        <w:tblW w:w="0" w:type="auto"/>
        <w:tblLook w:val="04A0" w:firstRow="1" w:lastRow="0" w:firstColumn="1" w:lastColumn="0" w:noHBand="0" w:noVBand="1"/>
      </w:tblPr>
      <w:tblGrid>
        <w:gridCol w:w="2254"/>
        <w:gridCol w:w="3411"/>
        <w:gridCol w:w="2977"/>
      </w:tblGrid>
      <w:tr w:rsidR="005843BE" w:rsidRPr="0053226C" w14:paraId="67B7FED1" w14:textId="77777777" w:rsidTr="002073CC">
        <w:tc>
          <w:tcPr>
            <w:tcW w:w="2254" w:type="dxa"/>
            <w:shd w:val="clear" w:color="auto" w:fill="F8983E"/>
          </w:tcPr>
          <w:p w14:paraId="70CDC177" w14:textId="696B3B96" w:rsidR="005843BE" w:rsidRPr="000E63E7" w:rsidRDefault="00B8669C" w:rsidP="00273BBC">
            <w:pPr>
              <w:spacing w:before="120"/>
              <w:rPr>
                <w:b/>
                <w:caps/>
                <w:sz w:val="20"/>
                <w:szCs w:val="20"/>
              </w:rPr>
            </w:pPr>
            <w:r w:rsidRPr="000E63E7">
              <w:rPr>
                <w:b/>
                <w:caps/>
                <w:sz w:val="20"/>
                <w:szCs w:val="20"/>
              </w:rPr>
              <w:t>Cohort</w:t>
            </w:r>
          </w:p>
        </w:tc>
        <w:tc>
          <w:tcPr>
            <w:tcW w:w="3411" w:type="dxa"/>
            <w:shd w:val="clear" w:color="auto" w:fill="F8983E"/>
          </w:tcPr>
          <w:p w14:paraId="2083D2F7" w14:textId="77777777" w:rsidR="005843BE" w:rsidRPr="000E63E7" w:rsidRDefault="005843BE" w:rsidP="00273BBC">
            <w:pPr>
              <w:spacing w:before="120"/>
              <w:rPr>
                <w:b/>
                <w:caps/>
                <w:sz w:val="20"/>
                <w:szCs w:val="20"/>
              </w:rPr>
            </w:pPr>
            <w:r w:rsidRPr="000E63E7">
              <w:rPr>
                <w:b/>
                <w:caps/>
                <w:sz w:val="20"/>
                <w:szCs w:val="20"/>
              </w:rPr>
              <w:t>Program</w:t>
            </w:r>
          </w:p>
        </w:tc>
        <w:tc>
          <w:tcPr>
            <w:tcW w:w="2977" w:type="dxa"/>
            <w:shd w:val="clear" w:color="auto" w:fill="F8983E"/>
          </w:tcPr>
          <w:p w14:paraId="7C411462" w14:textId="28E1F3CE" w:rsidR="005843BE" w:rsidRPr="000E63E7" w:rsidRDefault="00273BBC" w:rsidP="00273BBC">
            <w:pPr>
              <w:spacing w:before="120"/>
              <w:rPr>
                <w:b/>
                <w:caps/>
                <w:sz w:val="20"/>
                <w:szCs w:val="20"/>
              </w:rPr>
            </w:pPr>
            <w:r w:rsidRPr="000E63E7">
              <w:rPr>
                <w:b/>
                <w:caps/>
                <w:sz w:val="20"/>
                <w:szCs w:val="20"/>
              </w:rPr>
              <w:t>Responsible Organisation</w:t>
            </w:r>
          </w:p>
        </w:tc>
      </w:tr>
      <w:tr w:rsidR="005843BE" w:rsidRPr="0053226C" w14:paraId="564E8786" w14:textId="77777777" w:rsidTr="00273BBC">
        <w:tc>
          <w:tcPr>
            <w:tcW w:w="2254" w:type="dxa"/>
          </w:tcPr>
          <w:p w14:paraId="18B784A6" w14:textId="77777777" w:rsidR="005843BE" w:rsidRPr="0053226C" w:rsidRDefault="005843BE" w:rsidP="00273BBC">
            <w:pPr>
              <w:spacing w:before="120"/>
              <w:rPr>
                <w:sz w:val="20"/>
                <w:szCs w:val="20"/>
              </w:rPr>
            </w:pPr>
            <w:r w:rsidRPr="0053226C">
              <w:rPr>
                <w:sz w:val="20"/>
                <w:szCs w:val="20"/>
              </w:rPr>
              <w:t xml:space="preserve">First Nations women </w:t>
            </w:r>
          </w:p>
        </w:tc>
        <w:tc>
          <w:tcPr>
            <w:tcW w:w="3411" w:type="dxa"/>
          </w:tcPr>
          <w:p w14:paraId="53689D49" w14:textId="77777777" w:rsidR="005843BE" w:rsidRPr="0053226C" w:rsidRDefault="005843BE" w:rsidP="00273BBC">
            <w:pPr>
              <w:spacing w:before="120"/>
              <w:rPr>
                <w:sz w:val="20"/>
                <w:szCs w:val="20"/>
              </w:rPr>
            </w:pPr>
            <w:r w:rsidRPr="0053226C">
              <w:rPr>
                <w:sz w:val="20"/>
                <w:szCs w:val="20"/>
              </w:rPr>
              <w:t xml:space="preserve">My </w:t>
            </w:r>
            <w:proofErr w:type="spellStart"/>
            <w:r w:rsidRPr="0053226C">
              <w:rPr>
                <w:sz w:val="20"/>
                <w:szCs w:val="20"/>
              </w:rPr>
              <w:t>Moola</w:t>
            </w:r>
            <w:proofErr w:type="spellEnd"/>
            <w:r w:rsidRPr="0053226C">
              <w:rPr>
                <w:sz w:val="20"/>
                <w:szCs w:val="20"/>
              </w:rPr>
              <w:t xml:space="preserve"> </w:t>
            </w:r>
          </w:p>
        </w:tc>
        <w:tc>
          <w:tcPr>
            <w:tcW w:w="2977" w:type="dxa"/>
          </w:tcPr>
          <w:p w14:paraId="6F66D036" w14:textId="77777777" w:rsidR="005843BE" w:rsidRPr="0053226C" w:rsidRDefault="005843BE" w:rsidP="00273BBC">
            <w:pPr>
              <w:spacing w:before="120"/>
              <w:rPr>
                <w:sz w:val="20"/>
                <w:szCs w:val="20"/>
              </w:rPr>
            </w:pPr>
            <w:r w:rsidRPr="0053226C">
              <w:rPr>
                <w:sz w:val="20"/>
                <w:szCs w:val="20"/>
              </w:rPr>
              <w:t xml:space="preserve">First Nations Foundation </w:t>
            </w:r>
          </w:p>
        </w:tc>
      </w:tr>
      <w:tr w:rsidR="005843BE" w:rsidRPr="0053226C" w14:paraId="2686371C" w14:textId="77777777" w:rsidTr="00273BBC">
        <w:tc>
          <w:tcPr>
            <w:tcW w:w="2254" w:type="dxa"/>
          </w:tcPr>
          <w:p w14:paraId="1DB20CB4" w14:textId="7CC41CDB" w:rsidR="005843BE" w:rsidRPr="0053226C" w:rsidRDefault="00921BED" w:rsidP="00921BED">
            <w:pPr>
              <w:spacing w:before="120"/>
              <w:rPr>
                <w:sz w:val="20"/>
                <w:szCs w:val="20"/>
              </w:rPr>
            </w:pPr>
            <w:r>
              <w:rPr>
                <w:sz w:val="20"/>
                <w:szCs w:val="20"/>
              </w:rPr>
              <w:t>Migrant, refugee and asylum-</w:t>
            </w:r>
            <w:r w:rsidR="005843BE" w:rsidRPr="0053226C">
              <w:rPr>
                <w:sz w:val="20"/>
                <w:szCs w:val="20"/>
              </w:rPr>
              <w:t xml:space="preserve">seeker women </w:t>
            </w:r>
          </w:p>
        </w:tc>
        <w:tc>
          <w:tcPr>
            <w:tcW w:w="3411" w:type="dxa"/>
          </w:tcPr>
          <w:p w14:paraId="529E13E1" w14:textId="77777777" w:rsidR="005843BE" w:rsidRPr="0053226C" w:rsidRDefault="005843BE" w:rsidP="00273BBC">
            <w:pPr>
              <w:spacing w:before="120"/>
              <w:rPr>
                <w:sz w:val="20"/>
                <w:szCs w:val="20"/>
              </w:rPr>
            </w:pPr>
            <w:r w:rsidRPr="0053226C">
              <w:rPr>
                <w:sz w:val="20"/>
                <w:szCs w:val="20"/>
              </w:rPr>
              <w:t xml:space="preserve">Women understanding money in Australia </w:t>
            </w:r>
          </w:p>
        </w:tc>
        <w:tc>
          <w:tcPr>
            <w:tcW w:w="2977" w:type="dxa"/>
          </w:tcPr>
          <w:p w14:paraId="156D8B50" w14:textId="77777777" w:rsidR="005843BE" w:rsidRPr="0053226C" w:rsidRDefault="005843BE" w:rsidP="00273BBC">
            <w:pPr>
              <w:spacing w:before="120"/>
              <w:rPr>
                <w:sz w:val="20"/>
                <w:szCs w:val="20"/>
              </w:rPr>
            </w:pPr>
            <w:r w:rsidRPr="0053226C">
              <w:rPr>
                <w:sz w:val="20"/>
                <w:szCs w:val="20"/>
              </w:rPr>
              <w:t xml:space="preserve">Women’s Health West </w:t>
            </w:r>
          </w:p>
        </w:tc>
      </w:tr>
      <w:tr w:rsidR="005843BE" w:rsidRPr="0053226C" w14:paraId="54B69CA1" w14:textId="77777777" w:rsidTr="00273BBC">
        <w:tc>
          <w:tcPr>
            <w:tcW w:w="2254" w:type="dxa"/>
          </w:tcPr>
          <w:p w14:paraId="05FCE5BF" w14:textId="393F1F6F" w:rsidR="005843BE" w:rsidRPr="0053226C" w:rsidRDefault="00921BED" w:rsidP="00273BBC">
            <w:pPr>
              <w:spacing w:before="120"/>
              <w:rPr>
                <w:sz w:val="20"/>
                <w:szCs w:val="20"/>
              </w:rPr>
            </w:pPr>
            <w:r>
              <w:rPr>
                <w:sz w:val="20"/>
                <w:szCs w:val="20"/>
              </w:rPr>
              <w:t>Migrant, refugee and asylum-</w:t>
            </w:r>
            <w:r w:rsidRPr="0053226C">
              <w:rPr>
                <w:sz w:val="20"/>
                <w:szCs w:val="20"/>
              </w:rPr>
              <w:t>seeker women</w:t>
            </w:r>
          </w:p>
        </w:tc>
        <w:tc>
          <w:tcPr>
            <w:tcW w:w="3411" w:type="dxa"/>
          </w:tcPr>
          <w:p w14:paraId="5206892E" w14:textId="77777777" w:rsidR="005843BE" w:rsidRPr="0053226C" w:rsidRDefault="005843BE" w:rsidP="00273BBC">
            <w:pPr>
              <w:spacing w:before="120"/>
              <w:rPr>
                <w:sz w:val="20"/>
                <w:szCs w:val="20"/>
              </w:rPr>
            </w:pPr>
            <w:r w:rsidRPr="0053226C">
              <w:rPr>
                <w:sz w:val="20"/>
                <w:szCs w:val="20"/>
              </w:rPr>
              <w:t xml:space="preserve">Let’s talk money </w:t>
            </w:r>
            <w:r w:rsidRPr="0053226C">
              <w:rPr>
                <w:rFonts w:cs="Arial"/>
                <w:sz w:val="20"/>
                <w:szCs w:val="20"/>
              </w:rPr>
              <w:t>Formerly Managing Money: every woman’s business</w:t>
            </w:r>
          </w:p>
        </w:tc>
        <w:tc>
          <w:tcPr>
            <w:tcW w:w="2977" w:type="dxa"/>
          </w:tcPr>
          <w:p w14:paraId="5FC99DC6" w14:textId="77777777" w:rsidR="005843BE" w:rsidRPr="0053226C" w:rsidRDefault="005843BE" w:rsidP="00273BBC">
            <w:pPr>
              <w:spacing w:before="120"/>
              <w:rPr>
                <w:sz w:val="20"/>
                <w:szCs w:val="20"/>
              </w:rPr>
            </w:pPr>
            <w:r w:rsidRPr="0053226C">
              <w:rPr>
                <w:rFonts w:cs="Arial"/>
                <w:sz w:val="20"/>
                <w:szCs w:val="20"/>
              </w:rPr>
              <w:t>Women’s Health In the North</w:t>
            </w:r>
          </w:p>
        </w:tc>
      </w:tr>
      <w:tr w:rsidR="005843BE" w:rsidRPr="0053226C" w14:paraId="188FFADC" w14:textId="77777777" w:rsidTr="00273BBC">
        <w:tc>
          <w:tcPr>
            <w:tcW w:w="2254" w:type="dxa"/>
          </w:tcPr>
          <w:p w14:paraId="7CA3B54F" w14:textId="0452AC89" w:rsidR="005843BE" w:rsidRPr="0053226C" w:rsidRDefault="00921BED" w:rsidP="00273BBC">
            <w:pPr>
              <w:spacing w:before="120"/>
              <w:rPr>
                <w:sz w:val="20"/>
                <w:szCs w:val="20"/>
              </w:rPr>
            </w:pPr>
            <w:r>
              <w:rPr>
                <w:sz w:val="20"/>
                <w:szCs w:val="20"/>
              </w:rPr>
              <w:t>Migrant, refugee and asylum-</w:t>
            </w:r>
            <w:r w:rsidRPr="0053226C">
              <w:rPr>
                <w:sz w:val="20"/>
                <w:szCs w:val="20"/>
              </w:rPr>
              <w:t>seeker women</w:t>
            </w:r>
          </w:p>
        </w:tc>
        <w:tc>
          <w:tcPr>
            <w:tcW w:w="3411" w:type="dxa"/>
          </w:tcPr>
          <w:p w14:paraId="2F6F9C53" w14:textId="77777777" w:rsidR="005843BE" w:rsidRPr="0053226C" w:rsidRDefault="005843BE" w:rsidP="00273BBC">
            <w:pPr>
              <w:spacing w:before="120"/>
              <w:rPr>
                <w:sz w:val="20"/>
                <w:szCs w:val="20"/>
              </w:rPr>
            </w:pPr>
            <w:r w:rsidRPr="0053226C">
              <w:rPr>
                <w:sz w:val="20"/>
                <w:szCs w:val="20"/>
              </w:rPr>
              <w:t xml:space="preserve">Stepping Stones </w:t>
            </w:r>
          </w:p>
          <w:p w14:paraId="67CCE31B" w14:textId="5D716705" w:rsidR="005843BE" w:rsidRPr="0053226C" w:rsidRDefault="00273BBC" w:rsidP="00273BBC">
            <w:pPr>
              <w:spacing w:before="120"/>
              <w:rPr>
                <w:sz w:val="20"/>
                <w:szCs w:val="20"/>
              </w:rPr>
            </w:pPr>
            <w:r>
              <w:rPr>
                <w:sz w:val="20"/>
                <w:szCs w:val="20"/>
              </w:rPr>
              <w:t>(includes</w:t>
            </w:r>
            <w:r w:rsidR="005843BE" w:rsidRPr="0053226C">
              <w:rPr>
                <w:sz w:val="20"/>
                <w:szCs w:val="20"/>
              </w:rPr>
              <w:t xml:space="preserve"> </w:t>
            </w:r>
            <w:proofErr w:type="spellStart"/>
            <w:r w:rsidR="005843BE" w:rsidRPr="0053226C">
              <w:rPr>
                <w:sz w:val="20"/>
                <w:szCs w:val="20"/>
              </w:rPr>
              <w:t>MoneyMinded</w:t>
            </w:r>
            <w:proofErr w:type="spellEnd"/>
            <w:r w:rsidR="005843BE" w:rsidRPr="0053226C">
              <w:rPr>
                <w:sz w:val="20"/>
                <w:szCs w:val="20"/>
              </w:rPr>
              <w:t>)</w:t>
            </w:r>
          </w:p>
        </w:tc>
        <w:tc>
          <w:tcPr>
            <w:tcW w:w="2977" w:type="dxa"/>
          </w:tcPr>
          <w:p w14:paraId="3A318389" w14:textId="77777777" w:rsidR="005843BE" w:rsidRPr="0053226C" w:rsidRDefault="005843BE" w:rsidP="00273BBC">
            <w:pPr>
              <w:spacing w:before="120"/>
              <w:rPr>
                <w:sz w:val="20"/>
                <w:szCs w:val="20"/>
              </w:rPr>
            </w:pPr>
            <w:r w:rsidRPr="0053226C">
              <w:rPr>
                <w:sz w:val="20"/>
                <w:szCs w:val="20"/>
              </w:rPr>
              <w:t xml:space="preserve">Brotherhood of St Laurence </w:t>
            </w:r>
          </w:p>
        </w:tc>
      </w:tr>
      <w:tr w:rsidR="005843BE" w:rsidRPr="0053226C" w14:paraId="633E4720" w14:textId="77777777" w:rsidTr="00273BBC">
        <w:tc>
          <w:tcPr>
            <w:tcW w:w="2254" w:type="dxa"/>
          </w:tcPr>
          <w:p w14:paraId="66978676" w14:textId="77777777" w:rsidR="005843BE" w:rsidRPr="0053226C" w:rsidRDefault="005843BE" w:rsidP="00273BBC">
            <w:pPr>
              <w:spacing w:before="120"/>
              <w:rPr>
                <w:sz w:val="20"/>
                <w:szCs w:val="20"/>
              </w:rPr>
            </w:pPr>
            <w:r w:rsidRPr="0053226C">
              <w:rPr>
                <w:sz w:val="20"/>
                <w:szCs w:val="20"/>
              </w:rPr>
              <w:t>Women with a disability</w:t>
            </w:r>
          </w:p>
        </w:tc>
        <w:tc>
          <w:tcPr>
            <w:tcW w:w="3411" w:type="dxa"/>
          </w:tcPr>
          <w:p w14:paraId="5E0E5414" w14:textId="77777777" w:rsidR="005843BE" w:rsidRPr="0053226C" w:rsidRDefault="005843BE" w:rsidP="00273BBC">
            <w:pPr>
              <w:spacing w:before="120"/>
              <w:rPr>
                <w:sz w:val="20"/>
                <w:szCs w:val="20"/>
              </w:rPr>
            </w:pPr>
            <w:proofErr w:type="spellStart"/>
            <w:r w:rsidRPr="0053226C">
              <w:rPr>
                <w:sz w:val="20"/>
                <w:szCs w:val="20"/>
              </w:rPr>
              <w:t>MoneyMinded</w:t>
            </w:r>
            <w:proofErr w:type="spellEnd"/>
            <w:r w:rsidRPr="0053226C">
              <w:rPr>
                <w:sz w:val="20"/>
                <w:szCs w:val="20"/>
              </w:rPr>
              <w:t xml:space="preserve"> </w:t>
            </w:r>
          </w:p>
        </w:tc>
        <w:tc>
          <w:tcPr>
            <w:tcW w:w="2977" w:type="dxa"/>
          </w:tcPr>
          <w:p w14:paraId="66BC5CBA" w14:textId="77777777" w:rsidR="005843BE" w:rsidRPr="0053226C" w:rsidRDefault="005843BE" w:rsidP="00273BBC">
            <w:pPr>
              <w:spacing w:before="120"/>
              <w:rPr>
                <w:sz w:val="20"/>
                <w:szCs w:val="20"/>
              </w:rPr>
            </w:pPr>
            <w:r w:rsidRPr="0053226C">
              <w:rPr>
                <w:sz w:val="20"/>
                <w:szCs w:val="20"/>
              </w:rPr>
              <w:t xml:space="preserve">ANZ Bank  </w:t>
            </w:r>
          </w:p>
        </w:tc>
      </w:tr>
      <w:tr w:rsidR="005843BE" w:rsidRPr="0053226C" w14:paraId="3B830EDA" w14:textId="77777777" w:rsidTr="00273BBC">
        <w:tc>
          <w:tcPr>
            <w:tcW w:w="2254" w:type="dxa"/>
          </w:tcPr>
          <w:p w14:paraId="673B849E" w14:textId="77777777" w:rsidR="005843BE" w:rsidRPr="0053226C" w:rsidRDefault="005843BE" w:rsidP="00273BBC">
            <w:pPr>
              <w:spacing w:before="120"/>
              <w:rPr>
                <w:sz w:val="20"/>
                <w:szCs w:val="20"/>
              </w:rPr>
            </w:pPr>
            <w:r w:rsidRPr="0053226C">
              <w:rPr>
                <w:sz w:val="20"/>
                <w:szCs w:val="20"/>
              </w:rPr>
              <w:t xml:space="preserve">All  women </w:t>
            </w:r>
          </w:p>
        </w:tc>
        <w:tc>
          <w:tcPr>
            <w:tcW w:w="3411" w:type="dxa"/>
          </w:tcPr>
          <w:p w14:paraId="715B941C" w14:textId="77777777" w:rsidR="005843BE" w:rsidRPr="0053226C" w:rsidRDefault="005843BE" w:rsidP="00273BBC">
            <w:pPr>
              <w:spacing w:before="120"/>
              <w:rPr>
                <w:sz w:val="20"/>
                <w:szCs w:val="20"/>
              </w:rPr>
            </w:pPr>
            <w:r w:rsidRPr="0053226C">
              <w:rPr>
                <w:sz w:val="20"/>
                <w:szCs w:val="20"/>
              </w:rPr>
              <w:t>Firmer Foundations</w:t>
            </w:r>
          </w:p>
        </w:tc>
        <w:tc>
          <w:tcPr>
            <w:tcW w:w="2977" w:type="dxa"/>
          </w:tcPr>
          <w:p w14:paraId="0778AC9F" w14:textId="3176426F" w:rsidR="005843BE" w:rsidRPr="0053226C" w:rsidRDefault="005843BE" w:rsidP="00273BBC">
            <w:pPr>
              <w:spacing w:before="120"/>
              <w:rPr>
                <w:sz w:val="20"/>
                <w:szCs w:val="20"/>
              </w:rPr>
            </w:pPr>
            <w:r w:rsidRPr="0053226C">
              <w:rPr>
                <w:sz w:val="20"/>
                <w:szCs w:val="20"/>
              </w:rPr>
              <w:t>Good Shepherd Australia New Zealand</w:t>
            </w:r>
          </w:p>
        </w:tc>
      </w:tr>
      <w:tr w:rsidR="005843BE" w:rsidRPr="0053226C" w14:paraId="2E19E4B2" w14:textId="77777777" w:rsidTr="00273BBC">
        <w:tc>
          <w:tcPr>
            <w:tcW w:w="2254" w:type="dxa"/>
          </w:tcPr>
          <w:p w14:paraId="2DDD98CA" w14:textId="77777777" w:rsidR="005843BE" w:rsidRPr="0053226C" w:rsidRDefault="005843BE" w:rsidP="00273BBC">
            <w:pPr>
              <w:spacing w:before="120"/>
              <w:rPr>
                <w:sz w:val="20"/>
                <w:szCs w:val="20"/>
              </w:rPr>
            </w:pPr>
            <w:r w:rsidRPr="0053226C">
              <w:rPr>
                <w:sz w:val="20"/>
                <w:szCs w:val="20"/>
              </w:rPr>
              <w:t>All  women</w:t>
            </w:r>
          </w:p>
        </w:tc>
        <w:tc>
          <w:tcPr>
            <w:tcW w:w="3411" w:type="dxa"/>
          </w:tcPr>
          <w:p w14:paraId="293B3DD3" w14:textId="77777777" w:rsidR="005843BE" w:rsidRPr="0053226C" w:rsidRDefault="005843BE" w:rsidP="00273BBC">
            <w:pPr>
              <w:spacing w:before="120"/>
              <w:rPr>
                <w:sz w:val="20"/>
                <w:szCs w:val="20"/>
              </w:rPr>
            </w:pPr>
            <w:proofErr w:type="spellStart"/>
            <w:r w:rsidRPr="0053226C">
              <w:rPr>
                <w:sz w:val="20"/>
                <w:szCs w:val="20"/>
              </w:rPr>
              <w:t>MoneyMinded</w:t>
            </w:r>
            <w:proofErr w:type="spellEnd"/>
          </w:p>
        </w:tc>
        <w:tc>
          <w:tcPr>
            <w:tcW w:w="2977" w:type="dxa"/>
          </w:tcPr>
          <w:p w14:paraId="60BF8338" w14:textId="77777777" w:rsidR="005843BE" w:rsidRPr="0053226C" w:rsidRDefault="005843BE" w:rsidP="00273BBC">
            <w:pPr>
              <w:spacing w:before="120"/>
              <w:rPr>
                <w:sz w:val="20"/>
                <w:szCs w:val="20"/>
              </w:rPr>
            </w:pPr>
            <w:r w:rsidRPr="0053226C">
              <w:rPr>
                <w:sz w:val="20"/>
                <w:szCs w:val="20"/>
              </w:rPr>
              <w:t>ANZ Bank</w:t>
            </w:r>
          </w:p>
        </w:tc>
      </w:tr>
      <w:tr w:rsidR="005843BE" w:rsidRPr="0053226C" w14:paraId="299F6874" w14:textId="77777777" w:rsidTr="00273BBC">
        <w:tc>
          <w:tcPr>
            <w:tcW w:w="2254" w:type="dxa"/>
          </w:tcPr>
          <w:p w14:paraId="326742FA" w14:textId="77777777" w:rsidR="005843BE" w:rsidRPr="0053226C" w:rsidRDefault="005843BE" w:rsidP="00273BBC">
            <w:pPr>
              <w:spacing w:before="120"/>
              <w:rPr>
                <w:sz w:val="20"/>
                <w:szCs w:val="20"/>
              </w:rPr>
            </w:pPr>
            <w:r w:rsidRPr="0053226C">
              <w:rPr>
                <w:sz w:val="20"/>
                <w:szCs w:val="20"/>
              </w:rPr>
              <w:t xml:space="preserve">Women affected by family violence </w:t>
            </w:r>
          </w:p>
        </w:tc>
        <w:tc>
          <w:tcPr>
            <w:tcW w:w="3411" w:type="dxa"/>
          </w:tcPr>
          <w:p w14:paraId="3E814125" w14:textId="77777777" w:rsidR="005843BE" w:rsidRPr="0053226C" w:rsidRDefault="005843BE" w:rsidP="00273BBC">
            <w:pPr>
              <w:spacing w:before="120"/>
              <w:rPr>
                <w:sz w:val="20"/>
                <w:szCs w:val="20"/>
              </w:rPr>
            </w:pPr>
            <w:r w:rsidRPr="0053226C">
              <w:rPr>
                <w:sz w:val="20"/>
                <w:szCs w:val="20"/>
              </w:rPr>
              <w:t xml:space="preserve">SARA </w:t>
            </w:r>
          </w:p>
        </w:tc>
        <w:tc>
          <w:tcPr>
            <w:tcW w:w="2977" w:type="dxa"/>
          </w:tcPr>
          <w:p w14:paraId="7FACF77D" w14:textId="77777777" w:rsidR="005843BE" w:rsidRPr="0053226C" w:rsidRDefault="005843BE" w:rsidP="00273BBC">
            <w:pPr>
              <w:spacing w:before="120"/>
              <w:rPr>
                <w:sz w:val="20"/>
                <w:szCs w:val="20"/>
              </w:rPr>
            </w:pPr>
            <w:r w:rsidRPr="0053226C">
              <w:rPr>
                <w:sz w:val="20"/>
                <w:szCs w:val="20"/>
              </w:rPr>
              <w:t xml:space="preserve">WIRE </w:t>
            </w:r>
          </w:p>
        </w:tc>
      </w:tr>
      <w:tr w:rsidR="005843BE" w:rsidRPr="0053226C" w14:paraId="4036EF8A" w14:textId="77777777" w:rsidTr="00273BBC">
        <w:tc>
          <w:tcPr>
            <w:tcW w:w="2254" w:type="dxa"/>
          </w:tcPr>
          <w:p w14:paraId="6376EF4C" w14:textId="77777777" w:rsidR="005843BE" w:rsidRPr="0053226C" w:rsidDel="00626B5D" w:rsidRDefault="005843BE" w:rsidP="00273BBC">
            <w:pPr>
              <w:spacing w:before="120"/>
              <w:rPr>
                <w:sz w:val="20"/>
                <w:szCs w:val="20"/>
              </w:rPr>
            </w:pPr>
            <w:r w:rsidRPr="0053226C">
              <w:rPr>
                <w:sz w:val="20"/>
                <w:szCs w:val="20"/>
              </w:rPr>
              <w:t>Women affected by family violence</w:t>
            </w:r>
          </w:p>
        </w:tc>
        <w:tc>
          <w:tcPr>
            <w:tcW w:w="3411" w:type="dxa"/>
          </w:tcPr>
          <w:p w14:paraId="64C7298C" w14:textId="77777777" w:rsidR="005843BE" w:rsidRPr="0053226C" w:rsidRDefault="005843BE" w:rsidP="00273BBC">
            <w:pPr>
              <w:spacing w:before="120"/>
              <w:rPr>
                <w:sz w:val="20"/>
                <w:szCs w:val="20"/>
              </w:rPr>
            </w:pPr>
            <w:r w:rsidRPr="0053226C">
              <w:rPr>
                <w:sz w:val="20"/>
                <w:szCs w:val="20"/>
              </w:rPr>
              <w:t xml:space="preserve">Money Minded – Family Violence </w:t>
            </w:r>
          </w:p>
        </w:tc>
        <w:tc>
          <w:tcPr>
            <w:tcW w:w="2977" w:type="dxa"/>
          </w:tcPr>
          <w:p w14:paraId="4791D220" w14:textId="7F52FDCC" w:rsidR="005843BE" w:rsidRPr="0053226C" w:rsidRDefault="005843BE" w:rsidP="00273BBC">
            <w:pPr>
              <w:spacing w:before="120"/>
              <w:rPr>
                <w:sz w:val="20"/>
                <w:szCs w:val="20"/>
              </w:rPr>
            </w:pPr>
            <w:r w:rsidRPr="0053226C">
              <w:rPr>
                <w:sz w:val="20"/>
                <w:szCs w:val="20"/>
              </w:rPr>
              <w:t xml:space="preserve">ANZ Bank </w:t>
            </w:r>
          </w:p>
        </w:tc>
      </w:tr>
    </w:tbl>
    <w:p w14:paraId="2920F7C3" w14:textId="77777777" w:rsidR="005843BE" w:rsidRPr="00B72FB3" w:rsidRDefault="005843BE" w:rsidP="00E96A48">
      <w:pPr>
        <w:tabs>
          <w:tab w:val="left" w:pos="2552"/>
        </w:tabs>
      </w:pPr>
    </w:p>
    <w:p w14:paraId="75F00974" w14:textId="25AEA256" w:rsidR="002C741A" w:rsidRPr="00B72FB3" w:rsidRDefault="009E225B" w:rsidP="00C12E15">
      <w:pPr>
        <w:pStyle w:val="Heading2"/>
      </w:pPr>
      <w:bookmarkStart w:id="10" w:name="_Toc33099976"/>
      <w:r>
        <w:t>T</w:t>
      </w:r>
      <w:r w:rsidR="00C54F45">
        <w:t>he co-d</w:t>
      </w:r>
      <w:r w:rsidR="002C741A" w:rsidRPr="00B72FB3">
        <w:t>esign process</w:t>
      </w:r>
      <w:bookmarkEnd w:id="10"/>
    </w:p>
    <w:p w14:paraId="14A798A9" w14:textId="0FCB3229" w:rsidR="002C741A" w:rsidRPr="00B72FB3" w:rsidRDefault="002C741A" w:rsidP="002C741A">
      <w:r w:rsidRPr="00B72FB3">
        <w:t xml:space="preserve">The </w:t>
      </w:r>
      <w:r w:rsidR="006879EF">
        <w:t>WFCP</w:t>
      </w:r>
      <w:r w:rsidR="000C14AD">
        <w:t xml:space="preserve"> </w:t>
      </w:r>
      <w:r w:rsidRPr="00B72FB3">
        <w:t>co-design process centralises the lived experiences of women in economically marginalised</w:t>
      </w:r>
      <w:r w:rsidR="00B144A6">
        <w:t xml:space="preserve"> groups</w:t>
      </w:r>
      <w:r w:rsidRPr="00B72FB3">
        <w:t>, along with the expertise of professional</w:t>
      </w:r>
      <w:r w:rsidR="000C14AD">
        <w:t>s</w:t>
      </w:r>
      <w:r w:rsidRPr="00B72FB3">
        <w:t xml:space="preserve"> working across the sector. The co-design process aims to build an understanding of the contexts in which women may find themselves in financial hardship or financial wellbeing, what contributed to their position, what services wo</w:t>
      </w:r>
      <w:r w:rsidR="000C14AD">
        <w:t>men are aware of and utilising, what works</w:t>
      </w:r>
      <w:r w:rsidRPr="00B72FB3">
        <w:t>, what they would like to see exist to assist women increase financial capability and economic security, and how they would like to see this marketed. The co-design builds a fuller picture of women’s financial capability by combining t</w:t>
      </w:r>
      <w:r w:rsidR="000C14AD">
        <w:t xml:space="preserve">he expertise of </w:t>
      </w:r>
      <w:r w:rsidRPr="00B72FB3">
        <w:t>professionals</w:t>
      </w:r>
      <w:r w:rsidR="000C14AD">
        <w:t xml:space="preserve"> across service delivery, corporate, academic, government, health and community sectors </w:t>
      </w:r>
      <w:r w:rsidRPr="00B72FB3">
        <w:t xml:space="preserve">with the lived experience and knowledge of </w:t>
      </w:r>
      <w:r w:rsidR="000C14AD">
        <w:t xml:space="preserve">First Nations, </w:t>
      </w:r>
      <w:r w:rsidRPr="00B72FB3">
        <w:t>migrant, refugee and asylum-seeker</w:t>
      </w:r>
      <w:r w:rsidR="000C14AD">
        <w:t xml:space="preserve"> women and women with a disability.</w:t>
      </w:r>
    </w:p>
    <w:p w14:paraId="246179AE" w14:textId="77777777" w:rsidR="00C12E15" w:rsidRDefault="00C12E15" w:rsidP="002C741A"/>
    <w:p w14:paraId="20B4406C" w14:textId="77777777" w:rsidR="008C0755" w:rsidRDefault="008C0755" w:rsidP="002C741A"/>
    <w:p w14:paraId="7C98460F" w14:textId="32831EAE" w:rsidR="002C741A" w:rsidRPr="00B72FB3" w:rsidRDefault="002C741A" w:rsidP="002C741A">
      <w:r w:rsidRPr="00B72FB3">
        <w:t>The co-design proces</w:t>
      </w:r>
      <w:r w:rsidR="00DA3EAE">
        <w:t>s for this project includes five</w:t>
      </w:r>
      <w:r w:rsidRPr="00B72FB3">
        <w:t xml:space="preserve"> key areas:</w:t>
      </w:r>
    </w:p>
    <w:p w14:paraId="78C4B644" w14:textId="1D46924D" w:rsidR="002C741A" w:rsidRPr="003A78BC" w:rsidRDefault="00851070"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Project governance g</w:t>
      </w:r>
      <w:r w:rsidR="002C741A" w:rsidRPr="003A78BC">
        <w:rPr>
          <w:rFonts w:eastAsiaTheme="minorHAnsi" w:cs="Arial"/>
          <w:lang w:val="en-AU"/>
        </w:rPr>
        <w:t xml:space="preserve">roup </w:t>
      </w:r>
    </w:p>
    <w:p w14:paraId="2D91429E" w14:textId="0F61FA8C" w:rsidR="002C741A" w:rsidRPr="003A78BC" w:rsidRDefault="00851070"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Cross-sector p</w:t>
      </w:r>
      <w:r w:rsidR="002C741A" w:rsidRPr="003A78BC">
        <w:rPr>
          <w:rFonts w:eastAsiaTheme="minorHAnsi" w:cs="Arial"/>
          <w:lang w:val="en-AU"/>
        </w:rPr>
        <w:t>artnerships</w:t>
      </w:r>
    </w:p>
    <w:p w14:paraId="38B5813D" w14:textId="77777777" w:rsidR="002C741A" w:rsidRPr="003A78BC" w:rsidRDefault="002C741A"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 xml:space="preserve">Interviews with professional experts </w:t>
      </w:r>
    </w:p>
    <w:p w14:paraId="262BD2D5" w14:textId="310F2580" w:rsidR="002C741A" w:rsidRPr="003A78BC" w:rsidRDefault="00851070"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Sector roundt</w:t>
      </w:r>
      <w:r w:rsidR="002C741A" w:rsidRPr="003A78BC">
        <w:rPr>
          <w:rFonts w:eastAsiaTheme="minorHAnsi" w:cs="Arial"/>
          <w:lang w:val="en-AU"/>
        </w:rPr>
        <w:t>able and lived experience panel</w:t>
      </w:r>
    </w:p>
    <w:p w14:paraId="7A440EC4" w14:textId="3FA06AC4" w:rsidR="002C741A" w:rsidRPr="003A78BC" w:rsidRDefault="00851070"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Focus groups and one-on-o</w:t>
      </w:r>
      <w:r w:rsidR="002C741A" w:rsidRPr="003A78BC">
        <w:rPr>
          <w:rFonts w:eastAsiaTheme="minorHAnsi" w:cs="Arial"/>
          <w:lang w:val="en-AU"/>
        </w:rPr>
        <w:t>ne interviews</w:t>
      </w:r>
      <w:r w:rsidR="007E356A" w:rsidRPr="003A78BC">
        <w:rPr>
          <w:rFonts w:eastAsiaTheme="minorHAnsi" w:cs="Arial"/>
          <w:lang w:val="en-AU"/>
        </w:rPr>
        <w:t>.</w:t>
      </w:r>
      <w:r w:rsidR="002C741A" w:rsidRPr="003A78BC">
        <w:rPr>
          <w:rFonts w:eastAsiaTheme="minorHAnsi" w:cs="Arial"/>
          <w:lang w:val="en-AU"/>
        </w:rPr>
        <w:t xml:space="preserve">  </w:t>
      </w:r>
    </w:p>
    <w:p w14:paraId="1FF769CB" w14:textId="09A50014" w:rsidR="002C741A" w:rsidRPr="00C57F01" w:rsidRDefault="006E0804" w:rsidP="00B144A6">
      <w:pPr>
        <w:spacing w:before="120"/>
      </w:pPr>
      <w:r>
        <w:rPr>
          <w:rStyle w:val="BodyTextChar"/>
          <w:b/>
        </w:rPr>
        <w:t>The governance g</w:t>
      </w:r>
      <w:r w:rsidR="002C741A" w:rsidRPr="00C57F01">
        <w:rPr>
          <w:rStyle w:val="BodyTextChar"/>
          <w:b/>
        </w:rPr>
        <w:t>roup</w:t>
      </w:r>
      <w:r w:rsidR="002C741A" w:rsidRPr="00C57F01">
        <w:t xml:space="preserve"> consists of both lived experience advocates and sector professionals. This includes professionals from the community sector, academia and financial sector. The lived experience advocates include women who have experienced financial hardship and identify a</w:t>
      </w:r>
      <w:r w:rsidR="007E356A">
        <w:t xml:space="preserve">s First Nations, migrant, </w:t>
      </w:r>
      <w:r w:rsidR="002C741A" w:rsidRPr="00C57F01">
        <w:t xml:space="preserve">refugee </w:t>
      </w:r>
      <w:r w:rsidR="007E356A">
        <w:t xml:space="preserve">or asylum-seeker </w:t>
      </w:r>
      <w:r w:rsidR="002C741A" w:rsidRPr="00C57F01">
        <w:t xml:space="preserve">women, or as having a disability. </w:t>
      </w:r>
    </w:p>
    <w:p w14:paraId="7CC36679" w14:textId="2F6A273B" w:rsidR="002C741A" w:rsidRPr="00B144A6" w:rsidRDefault="006E0804" w:rsidP="002C741A">
      <w:pPr>
        <w:rPr>
          <w:b/>
        </w:rPr>
      </w:pPr>
      <w:r>
        <w:rPr>
          <w:b/>
        </w:rPr>
        <w:t>Project p</w:t>
      </w:r>
      <w:r w:rsidR="00B144A6">
        <w:rPr>
          <w:b/>
        </w:rPr>
        <w:t xml:space="preserve">artnerships </w:t>
      </w:r>
      <w:r w:rsidR="002C741A" w:rsidRPr="00B72FB3">
        <w:t>allow for collaboration across the community</w:t>
      </w:r>
      <w:r w:rsidR="002350DC">
        <w:t>, health</w:t>
      </w:r>
      <w:r w:rsidR="002C741A" w:rsidRPr="00B72FB3">
        <w:t xml:space="preserve"> and financial sector</w:t>
      </w:r>
      <w:r w:rsidR="002350DC">
        <w:t>s</w:t>
      </w:r>
      <w:r w:rsidR="002C741A" w:rsidRPr="00B72FB3">
        <w:t>. The partnerships enhance knowledge sharing and prevent the project from ‘reinventing the wheel’ by working together to build upon best practice financial capability knowledge.</w:t>
      </w:r>
    </w:p>
    <w:p w14:paraId="6F3F375A" w14:textId="2C67D3D6" w:rsidR="002C741A" w:rsidRPr="00B72FB3" w:rsidRDefault="002350DC" w:rsidP="002C741A">
      <w:r>
        <w:t>The</w:t>
      </w:r>
      <w:r w:rsidR="002C741A" w:rsidRPr="00B72FB3">
        <w:t xml:space="preserve"> </w:t>
      </w:r>
      <w:r w:rsidR="006879EF">
        <w:t>WFCP</w:t>
      </w:r>
      <w:r w:rsidR="002C741A" w:rsidRPr="00B72FB3">
        <w:t xml:space="preserve"> project is being undertaken by WIRE as lead organisation, with Good Shepherd Australia and New Zealand (GSANZ) as our core partner. The project funding submission was written as a joint submission, combining WIREs expertise in financial abuse and GSANZ</w:t>
      </w:r>
      <w:r>
        <w:t>’s</w:t>
      </w:r>
      <w:r w:rsidR="002C741A" w:rsidRPr="00B72FB3">
        <w:t xml:space="preserve"> expertise in </w:t>
      </w:r>
      <w:r>
        <w:t>financial wellbeing</w:t>
      </w:r>
      <w:r w:rsidR="002C741A" w:rsidRPr="00B72FB3">
        <w:t xml:space="preserve">. Like WIRE, GSANZ have a long history of research, development and delivery of programs for women’s financial capability; including the development of the Firmer Foundations program.  </w:t>
      </w:r>
    </w:p>
    <w:p w14:paraId="673B5A39" w14:textId="2F23AC22" w:rsidR="002C741A" w:rsidRPr="00B72FB3" w:rsidRDefault="002C741A" w:rsidP="002C741A">
      <w:r w:rsidRPr="00B72FB3">
        <w:t xml:space="preserve">Along with this core partnership we are working with the following groups specifically for their work within the relevant </w:t>
      </w:r>
      <w:r w:rsidR="00B8669C">
        <w:t>cohort</w:t>
      </w:r>
      <w:r w:rsidRPr="00B72FB3">
        <w:t>s:</w:t>
      </w:r>
    </w:p>
    <w:p w14:paraId="6B013783" w14:textId="77777777" w:rsidR="002C741A" w:rsidRPr="00B72FB3" w:rsidRDefault="002C741A" w:rsidP="002C741A">
      <w:pPr>
        <w:rPr>
          <w:lang w:eastAsia="en-AU"/>
        </w:rPr>
      </w:pPr>
      <w:r w:rsidRPr="00A556AE">
        <w:rPr>
          <w:b/>
        </w:rPr>
        <w:t>Brotherhood of St Laurence (BSL):</w:t>
      </w:r>
      <w:r w:rsidRPr="00B72FB3">
        <w:t xml:space="preserve"> </w:t>
      </w:r>
      <w:r w:rsidRPr="00B72FB3">
        <w:rPr>
          <w:lang w:eastAsia="en-AU"/>
        </w:rPr>
        <w:t>a community organisation that works to prevent and alleviate poverty across Australia. BSL</w:t>
      </w:r>
      <w:r w:rsidRPr="00B72FB3">
        <w:t xml:space="preserve"> developed and runs Stepping Stones- a highly successful business development programs for migrant and refugee women which includes financial capability education. </w:t>
      </w:r>
    </w:p>
    <w:p w14:paraId="28BB91A1" w14:textId="537C08E0" w:rsidR="002C741A" w:rsidRPr="00B72FB3" w:rsidRDefault="002C741A" w:rsidP="002C741A">
      <w:pPr>
        <w:rPr>
          <w:color w:val="7267AC"/>
        </w:rPr>
      </w:pPr>
      <w:r w:rsidRPr="00A556AE">
        <w:rPr>
          <w:b/>
        </w:rPr>
        <w:t>Women with Disabilities Victoria (WDV)</w:t>
      </w:r>
      <w:r w:rsidR="00A556AE">
        <w:rPr>
          <w:b/>
        </w:rPr>
        <w:t>:</w:t>
      </w:r>
      <w:r w:rsidRPr="00B72FB3">
        <w:t xml:space="preserve"> an organisation of women with disabilities, for women with disabilities.</w:t>
      </w:r>
      <w:r w:rsidRPr="00B72FB3">
        <w:rPr>
          <w:color w:val="7267AC"/>
        </w:rPr>
        <w:t xml:space="preserve"> </w:t>
      </w:r>
      <w:r w:rsidR="00B144A6">
        <w:t>WDV’s v</w:t>
      </w:r>
      <w:r w:rsidRPr="00B72FB3">
        <w:t>ision is a world where all women are respected and can fully experience life.</w:t>
      </w:r>
      <w:r w:rsidRPr="00B72FB3">
        <w:rPr>
          <w:color w:val="7267AC"/>
        </w:rPr>
        <w:t xml:space="preserve"> </w:t>
      </w:r>
      <w:r w:rsidRPr="00B72FB3">
        <w:t>Their</w:t>
      </w:r>
      <w:r w:rsidR="00B144A6">
        <w:t xml:space="preserve"> mission</w:t>
      </w:r>
      <w:r w:rsidRPr="00B72FB3">
        <w:t xml:space="preserve"> is to advance real social and economic inclusion for women with disabilities in Victoria. </w:t>
      </w:r>
    </w:p>
    <w:p w14:paraId="3ECE9CD6" w14:textId="074E2C26" w:rsidR="002C741A" w:rsidRDefault="002C741A" w:rsidP="00FD5A86">
      <w:pPr>
        <w:spacing w:after="40"/>
        <w:rPr>
          <w:rFonts w:eastAsia="Times" w:cstheme="minorHAnsi"/>
        </w:rPr>
      </w:pPr>
      <w:r w:rsidRPr="00FD5A86">
        <w:rPr>
          <w:b/>
        </w:rPr>
        <w:t xml:space="preserve">First Nations Foundation </w:t>
      </w:r>
      <w:r w:rsidR="00FD5A86" w:rsidRPr="00FD5A86">
        <w:rPr>
          <w:b/>
        </w:rPr>
        <w:t>(FNF):</w:t>
      </w:r>
      <w:r w:rsidR="00FD5A86">
        <w:t xml:space="preserve"> </w:t>
      </w:r>
      <w:r w:rsidR="00FD5A86" w:rsidRPr="00A70599">
        <w:rPr>
          <w:rFonts w:eastAsia="Times" w:cstheme="minorHAnsi"/>
        </w:rPr>
        <w:t>a national Indigenous financial foundation, led by an </w:t>
      </w:r>
      <w:r w:rsidR="00FD5A86" w:rsidRPr="00A70599">
        <w:rPr>
          <w:rFonts w:eastAsia="Times" w:cstheme="minorHAnsi"/>
          <w:bCs/>
        </w:rPr>
        <w:t>Indigenous board</w:t>
      </w:r>
      <w:r w:rsidR="00FD5A86" w:rsidRPr="00A70599">
        <w:rPr>
          <w:rFonts w:eastAsia="Times" w:cstheme="minorHAnsi"/>
        </w:rPr>
        <w:t>, striving to achieve economic freedom for First Nations</w:t>
      </w:r>
      <w:r w:rsidR="00BF510E">
        <w:rPr>
          <w:rFonts w:eastAsia="Times" w:cstheme="minorHAnsi"/>
        </w:rPr>
        <w:t xml:space="preserve"> people</w:t>
      </w:r>
      <w:r w:rsidR="00FD5A86" w:rsidRPr="00A70599">
        <w:rPr>
          <w:rFonts w:eastAsia="Times" w:cstheme="minorHAnsi"/>
        </w:rPr>
        <w:t>. FNF offers programs in </w:t>
      </w:r>
      <w:r w:rsidR="00FD5A86" w:rsidRPr="00A70599">
        <w:rPr>
          <w:rFonts w:eastAsia="Times" w:cstheme="minorHAnsi"/>
          <w:bCs/>
        </w:rPr>
        <w:t>financial literacy, research</w:t>
      </w:r>
      <w:r w:rsidR="00FD5A86" w:rsidRPr="00A70599">
        <w:rPr>
          <w:rFonts w:eastAsia="Times" w:cstheme="minorHAnsi"/>
        </w:rPr>
        <w:t> and </w:t>
      </w:r>
      <w:r w:rsidR="00FD5A86" w:rsidRPr="00A70599">
        <w:rPr>
          <w:rFonts w:eastAsia="Times" w:cstheme="minorHAnsi"/>
          <w:bCs/>
        </w:rPr>
        <w:t>superannuation outreach</w:t>
      </w:r>
      <w:r w:rsidR="00FD5A86" w:rsidRPr="00A70599">
        <w:rPr>
          <w:rFonts w:eastAsia="Times" w:cstheme="minorHAnsi"/>
        </w:rPr>
        <w:t> to Aboriginal and Torres Strait Islander</w:t>
      </w:r>
      <w:r w:rsidR="00FD5A86">
        <w:rPr>
          <w:rFonts w:eastAsia="Times" w:cstheme="minorHAnsi"/>
        </w:rPr>
        <w:t xml:space="preserve"> people. FNF developed highly s</w:t>
      </w:r>
      <w:r w:rsidR="00FD5A86" w:rsidRPr="00A70599">
        <w:rPr>
          <w:rFonts w:eastAsia="Times" w:cstheme="minorHAnsi"/>
        </w:rPr>
        <w:t>uccessful</w:t>
      </w:r>
      <w:r w:rsidR="00FD5A86">
        <w:rPr>
          <w:rFonts w:eastAsia="Times" w:cstheme="minorHAnsi"/>
        </w:rPr>
        <w:t xml:space="preserve"> </w:t>
      </w:r>
      <w:r w:rsidR="00FD5A86" w:rsidRPr="00A70599">
        <w:rPr>
          <w:rFonts w:eastAsia="Times" w:cstheme="minorHAnsi"/>
        </w:rPr>
        <w:t xml:space="preserve">My </w:t>
      </w:r>
      <w:proofErr w:type="spellStart"/>
      <w:r w:rsidR="00FD5A86" w:rsidRPr="00A70599">
        <w:rPr>
          <w:rFonts w:eastAsia="Times" w:cstheme="minorHAnsi"/>
        </w:rPr>
        <w:t>Moola</w:t>
      </w:r>
      <w:proofErr w:type="spellEnd"/>
      <w:r w:rsidR="00FD5A86" w:rsidRPr="00A70599">
        <w:rPr>
          <w:rFonts w:eastAsia="Times" w:cstheme="minorHAnsi"/>
        </w:rPr>
        <w:t xml:space="preserve"> financial capabil</w:t>
      </w:r>
      <w:r w:rsidR="00FD5A86">
        <w:rPr>
          <w:rFonts w:eastAsia="Times" w:cstheme="minorHAnsi"/>
        </w:rPr>
        <w:t>i</w:t>
      </w:r>
      <w:r w:rsidR="00FD5A86" w:rsidRPr="00A70599">
        <w:rPr>
          <w:rFonts w:eastAsia="Times" w:cstheme="minorHAnsi"/>
        </w:rPr>
        <w:t xml:space="preserve">ty program. </w:t>
      </w:r>
    </w:p>
    <w:p w14:paraId="0B8881ED" w14:textId="77777777" w:rsidR="00FD5A86" w:rsidRDefault="00FD5A86" w:rsidP="00B144A6">
      <w:pPr>
        <w:spacing w:after="0"/>
        <w:rPr>
          <w:rFonts w:eastAsia="Times" w:cstheme="minorHAnsi"/>
        </w:rPr>
      </w:pPr>
    </w:p>
    <w:p w14:paraId="1763A54C" w14:textId="459656CF" w:rsidR="002C741A" w:rsidRDefault="002C741A" w:rsidP="00B144A6">
      <w:pPr>
        <w:spacing w:after="0"/>
      </w:pPr>
      <w:r w:rsidRPr="00C94097">
        <w:rPr>
          <w:b/>
        </w:rPr>
        <w:t>Fi</w:t>
      </w:r>
      <w:r w:rsidR="00574C14">
        <w:rPr>
          <w:b/>
        </w:rPr>
        <w:t xml:space="preserve">nancial Counselling Australia: </w:t>
      </w:r>
      <w:r w:rsidRPr="00574C14">
        <w:t>Lynda Edwards coordinates</w:t>
      </w:r>
      <w:r w:rsidRPr="00B72FB3">
        <w:t xml:space="preserve"> a group of financial capability workers in Australia who work with First Nations and</w:t>
      </w:r>
      <w:r w:rsidR="00263A7E" w:rsidRPr="00263A7E">
        <w:t xml:space="preserve"> </w:t>
      </w:r>
      <w:r w:rsidR="00263A7E" w:rsidRPr="00B72FB3">
        <w:t>migrant,</w:t>
      </w:r>
      <w:r w:rsidR="00263A7E">
        <w:t xml:space="preserve"> refugee and asylum-seeker </w:t>
      </w:r>
      <w:r w:rsidRPr="00B72FB3">
        <w:t>groups.</w:t>
      </w:r>
    </w:p>
    <w:p w14:paraId="4A85D0F7" w14:textId="77777777" w:rsidR="00C12E15" w:rsidRDefault="00C12E15" w:rsidP="00B144A6">
      <w:pPr>
        <w:spacing w:after="0"/>
      </w:pPr>
    </w:p>
    <w:p w14:paraId="30587E3C" w14:textId="77777777" w:rsidR="00574C14" w:rsidRDefault="00574C14" w:rsidP="00C71216">
      <w:pPr>
        <w:pStyle w:val="Heading2"/>
        <w:rPr>
          <w:b w:val="0"/>
          <w:color w:val="auto"/>
          <w:sz w:val="22"/>
        </w:rPr>
      </w:pPr>
      <w:bookmarkStart w:id="11" w:name="_Toc33099977"/>
    </w:p>
    <w:p w14:paraId="689C6BE8" w14:textId="77777777" w:rsidR="00574C14" w:rsidRPr="00574C14" w:rsidRDefault="00574C14" w:rsidP="00574C14">
      <w:pPr>
        <w:pStyle w:val="BodyText"/>
      </w:pPr>
    </w:p>
    <w:p w14:paraId="64C90922" w14:textId="659E17CD" w:rsidR="002C741A" w:rsidRPr="00B72FB3" w:rsidRDefault="00B144A6" w:rsidP="00C71216">
      <w:pPr>
        <w:pStyle w:val="Heading2"/>
      </w:pPr>
      <w:r>
        <w:t>Summary of key learnings from co-d</w:t>
      </w:r>
      <w:r w:rsidR="002C741A" w:rsidRPr="00B72FB3">
        <w:t>esign process</w:t>
      </w:r>
      <w:bookmarkEnd w:id="11"/>
    </w:p>
    <w:p w14:paraId="38658F1B" w14:textId="77777777" w:rsidR="00DA7A2A" w:rsidRDefault="002C741A" w:rsidP="00C12E15">
      <w:pPr>
        <w:pStyle w:val="Heading3"/>
        <w:rPr>
          <w:i/>
        </w:rPr>
      </w:pPr>
      <w:bookmarkStart w:id="12" w:name="_Toc33099978"/>
      <w:r w:rsidRPr="00B144A6">
        <w:t>Women’s Financial Wellbeing Roundtable</w:t>
      </w:r>
      <w:bookmarkEnd w:id="12"/>
      <w:r w:rsidRPr="00B144A6">
        <w:rPr>
          <w:i/>
        </w:rPr>
        <w:t xml:space="preserve"> </w:t>
      </w:r>
    </w:p>
    <w:p w14:paraId="0F7043DB" w14:textId="13EA8F1A" w:rsidR="002C741A" w:rsidRPr="00DA7A2A" w:rsidRDefault="002C741A" w:rsidP="003740E5">
      <w:pPr>
        <w:spacing w:after="100" w:afterAutospacing="1" w:line="312" w:lineRule="atLeast"/>
        <w:rPr>
          <w:b/>
          <w:i/>
          <w:color w:val="E36C0A" w:themeColor="accent6" w:themeShade="BF"/>
        </w:rPr>
      </w:pPr>
      <w:r w:rsidRPr="00B72FB3">
        <w:rPr>
          <w:rFonts w:eastAsia="Times New Roman"/>
          <w:color w:val="000000"/>
          <w:lang w:eastAsia="en-AU"/>
        </w:rPr>
        <w:t xml:space="preserve">The </w:t>
      </w:r>
      <w:r w:rsidRPr="00B72FB3">
        <w:rPr>
          <w:bCs/>
        </w:rPr>
        <w:t>Women’s Financial Wellbeing Roundtable</w:t>
      </w:r>
      <w:r w:rsidRPr="00B72FB3">
        <w:rPr>
          <w:rFonts w:eastAsia="Times New Roman"/>
          <w:color w:val="000000"/>
          <w:lang w:eastAsia="en-AU"/>
        </w:rPr>
        <w:t xml:space="preserve"> (August 2019) was an opportunity for professionals with specialist expertise and women with lived experience, including First Nations </w:t>
      </w:r>
      <w:r w:rsidR="003740E5">
        <w:rPr>
          <w:rFonts w:eastAsia="Times New Roman"/>
          <w:color w:val="000000"/>
          <w:lang w:eastAsia="en-AU"/>
        </w:rPr>
        <w:t xml:space="preserve">and </w:t>
      </w:r>
      <w:r w:rsidR="00263A7E" w:rsidRPr="00B72FB3">
        <w:t>migrant, refugee and asylum-seeker women</w:t>
      </w:r>
      <w:r w:rsidR="00263A7E">
        <w:t xml:space="preserve"> </w:t>
      </w:r>
      <w:r w:rsidRPr="00B72FB3">
        <w:rPr>
          <w:rFonts w:eastAsia="Times New Roman"/>
          <w:color w:val="000000"/>
          <w:lang w:eastAsia="en-AU"/>
        </w:rPr>
        <w:t xml:space="preserve">and women with disabilities, to come together and build a vision on how to strengthen and support Victorian women building their financial capabilities. This conversation will inform the </w:t>
      </w:r>
      <w:r w:rsidR="006879EF">
        <w:rPr>
          <w:rFonts w:eastAsia="Times New Roman"/>
          <w:color w:val="000000"/>
          <w:lang w:eastAsia="en-AU"/>
        </w:rPr>
        <w:t>WFCP</w:t>
      </w:r>
      <w:r w:rsidRPr="00B72FB3">
        <w:rPr>
          <w:rFonts w:eastAsia="Times New Roman"/>
          <w:color w:val="000000"/>
          <w:lang w:eastAsia="en-AU"/>
        </w:rPr>
        <w:t xml:space="preserve">, as well as provide for much need networking and exchange space for professionals working on women’s economic security. </w:t>
      </w:r>
    </w:p>
    <w:p w14:paraId="60E7EE9D" w14:textId="77777777" w:rsidR="002C741A" w:rsidRPr="00B72FB3" w:rsidRDefault="002C741A" w:rsidP="002C741A">
      <w:r w:rsidRPr="00B72FB3">
        <w:t xml:space="preserve">The roundtable had 47 professionals ranging from: </w:t>
      </w:r>
    </w:p>
    <w:p w14:paraId="3CB9F6DE" w14:textId="77777777" w:rsidR="002C741A" w:rsidRPr="00D30788" w:rsidRDefault="002C741A" w:rsidP="00D30788">
      <w:pPr>
        <w:pStyle w:val="Wbullet"/>
        <w:spacing w:after="120"/>
      </w:pPr>
      <w:r w:rsidRPr="00D30788">
        <w:t xml:space="preserve">Community service organisations </w:t>
      </w:r>
    </w:p>
    <w:p w14:paraId="454089D3" w14:textId="2DE9F098" w:rsidR="002C741A" w:rsidRPr="00B72FB3" w:rsidRDefault="002C741A" w:rsidP="00D30788">
      <w:pPr>
        <w:pStyle w:val="Wbullet2"/>
        <w:numPr>
          <w:ilvl w:val="0"/>
          <w:numId w:val="2"/>
        </w:numPr>
        <w:spacing w:after="120"/>
        <w:ind w:left="908" w:hanging="454"/>
      </w:pPr>
      <w:r w:rsidRPr="00D30788">
        <w:t xml:space="preserve">Including </w:t>
      </w:r>
      <w:r w:rsidRPr="00B72FB3">
        <w:t xml:space="preserve">Brotherhood of St Laurence, </w:t>
      </w:r>
      <w:proofErr w:type="spellStart"/>
      <w:r w:rsidRPr="00B72FB3">
        <w:t>Diversitat</w:t>
      </w:r>
      <w:proofErr w:type="spellEnd"/>
      <w:r w:rsidRPr="00B72FB3">
        <w:t xml:space="preserve">, </w:t>
      </w:r>
      <w:proofErr w:type="spellStart"/>
      <w:r w:rsidRPr="00B72FB3">
        <w:t>MiCare</w:t>
      </w:r>
      <w:proofErr w:type="spellEnd"/>
      <w:r w:rsidRPr="00B72FB3">
        <w:t>, Victorian neighbourhood houses, Berry Street family violence, Women’s Health in the North, Women’s Health in the West</w:t>
      </w:r>
      <w:r w:rsidR="003740E5">
        <w:t>.</w:t>
      </w:r>
    </w:p>
    <w:p w14:paraId="57F44210" w14:textId="6474D96E" w:rsidR="002C741A" w:rsidRPr="00B72FB3" w:rsidRDefault="00DD15BA" w:rsidP="00D30788">
      <w:pPr>
        <w:pStyle w:val="Wbullet"/>
        <w:spacing w:after="120"/>
      </w:pPr>
      <w:r>
        <w:t>Academic</w:t>
      </w:r>
    </w:p>
    <w:p w14:paraId="5159B0D3" w14:textId="02BFCD17" w:rsidR="00B144A6" w:rsidRPr="00B72FB3" w:rsidRDefault="00B144A6" w:rsidP="00B144A6">
      <w:pPr>
        <w:pStyle w:val="Wbullet2"/>
        <w:numPr>
          <w:ilvl w:val="0"/>
          <w:numId w:val="2"/>
        </w:numPr>
        <w:spacing w:after="120"/>
        <w:ind w:left="908" w:hanging="454"/>
      </w:pPr>
      <w:r w:rsidRPr="00D30788">
        <w:t>Including</w:t>
      </w:r>
      <w:r w:rsidRPr="00B72FB3">
        <w:t xml:space="preserve"> RMIT University</w:t>
      </w:r>
      <w:r>
        <w:t xml:space="preserve"> (</w:t>
      </w:r>
      <w:r w:rsidRPr="00B72FB3">
        <w:t xml:space="preserve">Centre for </w:t>
      </w:r>
      <w:r>
        <w:t>I</w:t>
      </w:r>
      <w:r w:rsidRPr="00B72FB3">
        <w:t xml:space="preserve">nnovative </w:t>
      </w:r>
      <w:r>
        <w:t>J</w:t>
      </w:r>
      <w:r w:rsidRPr="00B72FB3">
        <w:t>ustice</w:t>
      </w:r>
      <w:r>
        <w:t xml:space="preserve"> and the School of Economics, Finance and Marketing)</w:t>
      </w:r>
      <w:r w:rsidR="003740E5">
        <w:t>.</w:t>
      </w:r>
    </w:p>
    <w:p w14:paraId="53C81622" w14:textId="77777777" w:rsidR="002C741A" w:rsidRPr="00B72FB3" w:rsidRDefault="002C741A" w:rsidP="00D30788">
      <w:pPr>
        <w:pStyle w:val="Wbullet"/>
        <w:spacing w:after="120"/>
      </w:pPr>
      <w:r w:rsidRPr="00B72FB3">
        <w:t>Corporate</w:t>
      </w:r>
    </w:p>
    <w:p w14:paraId="3E05FB6E" w14:textId="0C64D874" w:rsidR="002C741A" w:rsidRPr="00B72FB3" w:rsidRDefault="002C741A" w:rsidP="00D30788">
      <w:pPr>
        <w:pStyle w:val="Wbullet2"/>
        <w:numPr>
          <w:ilvl w:val="0"/>
          <w:numId w:val="2"/>
        </w:numPr>
        <w:spacing w:after="120"/>
        <w:ind w:left="908" w:hanging="454"/>
      </w:pPr>
      <w:r w:rsidRPr="00B72FB3">
        <w:t>I</w:t>
      </w:r>
      <w:r w:rsidR="003740E5">
        <w:t>ncluding ANZ, Commonwealth Bank.</w:t>
      </w:r>
    </w:p>
    <w:p w14:paraId="068B8614" w14:textId="77777777" w:rsidR="002C741A" w:rsidRPr="00B72FB3" w:rsidRDefault="002C741A" w:rsidP="00D30788">
      <w:pPr>
        <w:pStyle w:val="Wbullet"/>
        <w:spacing w:after="120"/>
      </w:pPr>
      <w:r w:rsidRPr="00B72FB3">
        <w:t>Government</w:t>
      </w:r>
    </w:p>
    <w:p w14:paraId="31A35BF2" w14:textId="13D08527" w:rsidR="002C741A" w:rsidRPr="00B72FB3" w:rsidRDefault="002C741A" w:rsidP="00096877">
      <w:pPr>
        <w:pStyle w:val="Wbullet2"/>
        <w:numPr>
          <w:ilvl w:val="0"/>
          <w:numId w:val="2"/>
        </w:numPr>
        <w:spacing w:after="0"/>
        <w:ind w:left="908" w:hanging="454"/>
      </w:pPr>
      <w:r w:rsidRPr="00B72FB3">
        <w:t xml:space="preserve">Including Victorian Department of Justice, Department of Premier and Cabinet, </w:t>
      </w:r>
      <w:r w:rsidR="003740E5">
        <w:t>Department of E</w:t>
      </w:r>
      <w:r w:rsidRPr="00B72FB3">
        <w:t>ducation</w:t>
      </w:r>
      <w:r w:rsidR="003740E5">
        <w:t xml:space="preserve"> and Training</w:t>
      </w:r>
      <w:r w:rsidRPr="00B72FB3">
        <w:t>, ASIC</w:t>
      </w:r>
      <w:r w:rsidR="003740E5">
        <w:t>.</w:t>
      </w:r>
    </w:p>
    <w:p w14:paraId="7F251DF9" w14:textId="77777777" w:rsidR="00096877" w:rsidRDefault="00096877" w:rsidP="00096877">
      <w:pPr>
        <w:spacing w:after="120"/>
      </w:pPr>
    </w:p>
    <w:p w14:paraId="3FAF4F0D" w14:textId="73A47706" w:rsidR="002C741A" w:rsidRPr="00B72FB3" w:rsidRDefault="00C54F45" w:rsidP="002C741A">
      <w:pPr>
        <w:rPr>
          <w:b/>
        </w:rPr>
      </w:pPr>
      <w:r>
        <w:rPr>
          <w:b/>
        </w:rPr>
        <w:t>Key l</w:t>
      </w:r>
      <w:r w:rsidR="002C741A" w:rsidRPr="00B72FB3">
        <w:rPr>
          <w:b/>
        </w:rPr>
        <w:t>earnings:</w:t>
      </w:r>
    </w:p>
    <w:p w14:paraId="43788256" w14:textId="4190E6AF" w:rsidR="002C741A" w:rsidRPr="00B72FB3" w:rsidRDefault="00A61FC3" w:rsidP="002C741A">
      <w:r>
        <w:t xml:space="preserve">There were </w:t>
      </w:r>
      <w:r w:rsidR="002C741A" w:rsidRPr="00B72FB3">
        <w:t xml:space="preserve">excellent learnings around what is working across the state; including programs like Stepping Stones, My </w:t>
      </w:r>
      <w:proofErr w:type="spellStart"/>
      <w:r w:rsidR="002C741A" w:rsidRPr="00B72FB3">
        <w:t>Moola</w:t>
      </w:r>
      <w:proofErr w:type="spellEnd"/>
      <w:r w:rsidR="002C741A" w:rsidRPr="00B72FB3">
        <w:t xml:space="preserve"> a</w:t>
      </w:r>
      <w:r w:rsidR="00FD5A86">
        <w:t>nd Firmer Foundations. There were</w:t>
      </w:r>
      <w:r w:rsidR="002C741A" w:rsidRPr="00B72FB3">
        <w:t xml:space="preserve"> also key learnings around what is not working; including lack of knowledge, referral pathways and consistency between financial capability for both sector workers and individual users in need of financial capability assistance. Sector workers expressed the desire for more appropriate knowledge and understanding to better provide access to services for all women; this included knowledge around disability and the NDIS, and more cultural competency </w:t>
      </w:r>
      <w:r w:rsidR="003740E5">
        <w:t xml:space="preserve">working with </w:t>
      </w:r>
      <w:r w:rsidR="002C741A" w:rsidRPr="00B72FB3">
        <w:t xml:space="preserve">for diverse communities. </w:t>
      </w:r>
    </w:p>
    <w:p w14:paraId="012CE434" w14:textId="1DB44C03" w:rsidR="002C741A" w:rsidRPr="00B72FB3" w:rsidRDefault="002C741A" w:rsidP="002C741A">
      <w:r w:rsidRPr="00B72FB3">
        <w:t>There were tangible suggestions around what would help sector workers to address gaps in services and barriers facin</w:t>
      </w:r>
      <w:r w:rsidR="003740E5">
        <w:t>g women in financial capability;</w:t>
      </w:r>
      <w:r w:rsidRPr="00B72FB3">
        <w:t xml:space="preserve"> i</w:t>
      </w:r>
      <w:r w:rsidR="003740E5">
        <w:t>ncluding centralising resources;</w:t>
      </w:r>
      <w:r w:rsidRPr="00B72FB3">
        <w:t xml:space="preserve"> creating more</w:t>
      </w:r>
      <w:r w:rsidR="003740E5">
        <w:t xml:space="preserve"> awareness of existing services; increasing ease of referrals;</w:t>
      </w:r>
      <w:r w:rsidRPr="00B72FB3">
        <w:t xml:space="preserve"> and creating stronger communities of practice. </w:t>
      </w:r>
    </w:p>
    <w:p w14:paraId="1A353205" w14:textId="659E704A" w:rsidR="009F5CFD" w:rsidRDefault="009F5CFD" w:rsidP="002C741A">
      <w:r>
        <w:lastRenderedPageBreak/>
        <w:t>In particular it was</w:t>
      </w:r>
      <w:r w:rsidR="002C741A" w:rsidRPr="00B72FB3">
        <w:t xml:space="preserve"> useful to hear from both regional and metropolitan perspectives, with the geographical disparity in services discussed as a concern. For regional sites the key barriers discussed included</w:t>
      </w:r>
      <w:r w:rsidR="003740E5">
        <w:t>;</w:t>
      </w:r>
      <w:r w:rsidR="002C741A" w:rsidRPr="00B72FB3">
        <w:t xml:space="preserve"> the lack of financial capability training opportunities f</w:t>
      </w:r>
      <w:r w:rsidR="003740E5">
        <w:t>or both professionals and users;</w:t>
      </w:r>
      <w:r w:rsidR="002C741A" w:rsidRPr="00B72FB3">
        <w:t xml:space="preserve"> and limited access to qualified and appropriately resourced workers and referral points. This is coupled with a lack of digital inclusion, mobile coverage and employment for regional women.  </w:t>
      </w:r>
    </w:p>
    <w:p w14:paraId="5E7B3982" w14:textId="76523E5A" w:rsidR="009F5CFD" w:rsidRPr="00B72FB3" w:rsidRDefault="009F5CFD" w:rsidP="009F5CFD">
      <w:pPr>
        <w:spacing w:before="100" w:beforeAutospacing="1" w:after="100" w:afterAutospacing="1" w:line="312" w:lineRule="atLeast"/>
        <w:rPr>
          <w:bCs/>
        </w:rPr>
      </w:pPr>
      <w:r w:rsidRPr="00B72FB3">
        <w:t xml:space="preserve">Four Lived Experience Advocates (L.E.A) also attended the roundtable, including women with a disability and women from </w:t>
      </w:r>
      <w:r w:rsidR="00FF0702" w:rsidRPr="00B72FB3">
        <w:t xml:space="preserve">migrant, refugee and asylum-seeker </w:t>
      </w:r>
      <w:r w:rsidRPr="00B72FB3">
        <w:t>back</w:t>
      </w:r>
      <w:r w:rsidR="000E63E7">
        <w:t>grounds. The L.E.A participated</w:t>
      </w:r>
      <w:r w:rsidRPr="00B72FB3">
        <w:t xml:space="preserve"> in a panel discussion on the experience of diverse women around financial capability, including structural barriers and practical solutions. </w:t>
      </w:r>
      <w:r w:rsidRPr="00B72FB3">
        <w:rPr>
          <w:bCs/>
        </w:rPr>
        <w:t xml:space="preserve">This conversation was a key learning not only for the </w:t>
      </w:r>
      <w:r w:rsidR="006879EF">
        <w:rPr>
          <w:bCs/>
        </w:rPr>
        <w:t>WFCP</w:t>
      </w:r>
      <w:r w:rsidRPr="00B72FB3">
        <w:rPr>
          <w:bCs/>
        </w:rPr>
        <w:t xml:space="preserve"> but also in centring lived experience in sector exchange and thinking.</w:t>
      </w:r>
    </w:p>
    <w:p w14:paraId="385A2231" w14:textId="73422FEF" w:rsidR="009F5CFD" w:rsidRDefault="009F5CFD" w:rsidP="009F5CFD">
      <w:pPr>
        <w:spacing w:before="100" w:beforeAutospacing="1" w:after="100" w:afterAutospacing="1" w:line="312" w:lineRule="atLeast"/>
        <w:rPr>
          <w:bCs/>
          <w:lang w:val="en-US"/>
        </w:rPr>
      </w:pPr>
      <w:r w:rsidRPr="00B72FB3">
        <w:rPr>
          <w:bCs/>
        </w:rPr>
        <w:t xml:space="preserve">Key learnings </w:t>
      </w:r>
      <w:r w:rsidRPr="00B72FB3">
        <w:rPr>
          <w:bCs/>
          <w:lang w:val="en-US"/>
        </w:rPr>
        <w:t xml:space="preserve">from lived experience panel included the benefits for migrant women in participating in </w:t>
      </w:r>
      <w:r w:rsidR="000E63E7">
        <w:rPr>
          <w:bCs/>
          <w:lang w:val="en-US"/>
        </w:rPr>
        <w:t>the Stepping Stones program-</w:t>
      </w:r>
      <w:r w:rsidRPr="00B72FB3">
        <w:rPr>
          <w:bCs/>
          <w:lang w:val="en-US"/>
        </w:rPr>
        <w:t xml:space="preserve"> from developing confidence and social networks, to financial capability skills and having a mentor. Discussion also featured difficulties and benefits of the NDIS including the depth of knowledge needed to self-manage your funds for some women with disabilities and financial abuse for others. All panelist</w:t>
      </w:r>
      <w:r w:rsidR="000E63E7">
        <w:rPr>
          <w:bCs/>
          <w:lang w:val="en-US"/>
        </w:rPr>
        <w:t>s</w:t>
      </w:r>
      <w:r w:rsidRPr="00B72FB3">
        <w:rPr>
          <w:bCs/>
          <w:lang w:val="en-US"/>
        </w:rPr>
        <w:t xml:space="preserve"> agreed on the need for financial capability programs to hel</w:t>
      </w:r>
      <w:r w:rsidR="000E63E7">
        <w:rPr>
          <w:bCs/>
          <w:lang w:val="en-US"/>
        </w:rPr>
        <w:t>p build self-esteem in strength-</w:t>
      </w:r>
      <w:r w:rsidRPr="00B72FB3">
        <w:rPr>
          <w:bCs/>
          <w:lang w:val="en-US"/>
        </w:rPr>
        <w:t xml:space="preserve">based approaches, as well as the value in female spaces to share knowledge and services. </w:t>
      </w:r>
    </w:p>
    <w:p w14:paraId="1A267979" w14:textId="534495D1" w:rsidR="009F5CFD" w:rsidRPr="009F5CFD" w:rsidRDefault="009F5CFD" w:rsidP="009F5CFD">
      <w:pPr>
        <w:spacing w:before="100" w:beforeAutospacing="1" w:after="100" w:afterAutospacing="1" w:line="312" w:lineRule="atLeast"/>
        <w:rPr>
          <w:bCs/>
          <w:lang w:val="en-US"/>
        </w:rPr>
      </w:pPr>
      <w:r>
        <w:rPr>
          <w:bCs/>
          <w:lang w:val="en-US"/>
        </w:rPr>
        <w:t xml:space="preserve">See Table 2 on the next page for a summary of key learnings from the sector. </w:t>
      </w:r>
    </w:p>
    <w:p w14:paraId="0219282A" w14:textId="77777777" w:rsidR="009F5CFD" w:rsidRPr="00B72FB3" w:rsidRDefault="009F5CFD" w:rsidP="009F5CFD">
      <w:pPr>
        <w:spacing w:before="100" w:beforeAutospacing="1" w:after="100" w:afterAutospacing="1" w:line="312" w:lineRule="atLeast"/>
        <w:rPr>
          <w:bCs/>
        </w:rPr>
      </w:pPr>
    </w:p>
    <w:p w14:paraId="323B52E4" w14:textId="0B1FD000" w:rsidR="00D910B5" w:rsidRDefault="00D910B5" w:rsidP="002C741A">
      <w:r>
        <w:br w:type="page"/>
      </w:r>
    </w:p>
    <w:p w14:paraId="1CC9F691" w14:textId="77777777" w:rsidR="00D910B5" w:rsidRDefault="00D910B5" w:rsidP="002C741A">
      <w:pPr>
        <w:sectPr w:rsidR="00D910B5" w:rsidSect="00271D3A">
          <w:pgSz w:w="11899" w:h="16840" w:code="9"/>
          <w:pgMar w:top="1134" w:right="1440" w:bottom="1440" w:left="1440" w:header="851" w:footer="567" w:gutter="0"/>
          <w:cols w:space="708"/>
          <w:titlePg/>
          <w:docGrid w:linePitch="360"/>
        </w:sectPr>
      </w:pPr>
    </w:p>
    <w:p w14:paraId="4D8B38ED" w14:textId="6FC44152" w:rsidR="002C741A" w:rsidRPr="009F5CFD" w:rsidRDefault="009F5CFD" w:rsidP="002C741A">
      <w:pPr>
        <w:rPr>
          <w:b/>
          <w:i/>
        </w:rPr>
      </w:pPr>
      <w:r w:rsidRPr="009F5CFD">
        <w:rPr>
          <w:b/>
          <w:i/>
        </w:rPr>
        <w:lastRenderedPageBreak/>
        <w:t>Table 2. Summary of key learnings from the sector</w:t>
      </w:r>
    </w:p>
    <w:tbl>
      <w:tblPr>
        <w:tblStyle w:val="TableGrid1"/>
        <w:tblW w:w="13745" w:type="dxa"/>
        <w:shd w:val="clear" w:color="auto" w:fill="FFFFFF" w:themeFill="background1"/>
        <w:tblLayout w:type="fixed"/>
        <w:tblLook w:val="04A0" w:firstRow="1" w:lastRow="0" w:firstColumn="1" w:lastColumn="0" w:noHBand="0" w:noVBand="1"/>
      </w:tblPr>
      <w:tblGrid>
        <w:gridCol w:w="4106"/>
        <w:gridCol w:w="6946"/>
        <w:gridCol w:w="2693"/>
      </w:tblGrid>
      <w:tr w:rsidR="002C741A" w:rsidRPr="00A556AE" w14:paraId="07860C99" w14:textId="77777777" w:rsidTr="002073CC">
        <w:trPr>
          <w:trHeight w:val="375"/>
        </w:trPr>
        <w:tc>
          <w:tcPr>
            <w:tcW w:w="4106" w:type="dxa"/>
            <w:shd w:val="clear" w:color="auto" w:fill="F8983E"/>
          </w:tcPr>
          <w:p w14:paraId="0DF8B502" w14:textId="77777777" w:rsidR="002C741A" w:rsidRPr="000E63E7" w:rsidRDefault="002C741A" w:rsidP="009F5CFD">
            <w:pPr>
              <w:spacing w:before="120"/>
              <w:rPr>
                <w:b/>
                <w:caps/>
                <w:sz w:val="20"/>
                <w:szCs w:val="20"/>
              </w:rPr>
            </w:pPr>
            <w:r w:rsidRPr="000E63E7">
              <w:rPr>
                <w:b/>
                <w:caps/>
                <w:sz w:val="20"/>
                <w:szCs w:val="20"/>
              </w:rPr>
              <w:t>Strengths</w:t>
            </w:r>
          </w:p>
        </w:tc>
        <w:tc>
          <w:tcPr>
            <w:tcW w:w="6946" w:type="dxa"/>
            <w:shd w:val="clear" w:color="auto" w:fill="F8983E"/>
          </w:tcPr>
          <w:p w14:paraId="1944C148" w14:textId="77777777" w:rsidR="002C741A" w:rsidRPr="000E63E7" w:rsidRDefault="002C741A" w:rsidP="009F5CFD">
            <w:pPr>
              <w:spacing w:before="120"/>
              <w:rPr>
                <w:b/>
                <w:caps/>
                <w:sz w:val="20"/>
                <w:szCs w:val="20"/>
              </w:rPr>
            </w:pPr>
            <w:r w:rsidRPr="000E63E7">
              <w:rPr>
                <w:b/>
                <w:caps/>
                <w:sz w:val="20"/>
                <w:szCs w:val="20"/>
              </w:rPr>
              <w:t xml:space="preserve">Issues </w:t>
            </w:r>
          </w:p>
        </w:tc>
        <w:tc>
          <w:tcPr>
            <w:tcW w:w="2693" w:type="dxa"/>
            <w:shd w:val="clear" w:color="auto" w:fill="F8983E"/>
          </w:tcPr>
          <w:p w14:paraId="7DB7996E" w14:textId="77777777" w:rsidR="002C741A" w:rsidRPr="000E63E7" w:rsidRDefault="002C741A" w:rsidP="009F5CFD">
            <w:pPr>
              <w:spacing w:before="120"/>
              <w:rPr>
                <w:b/>
                <w:caps/>
                <w:sz w:val="20"/>
                <w:szCs w:val="20"/>
              </w:rPr>
            </w:pPr>
            <w:r w:rsidRPr="000E63E7">
              <w:rPr>
                <w:b/>
                <w:caps/>
                <w:sz w:val="20"/>
                <w:szCs w:val="20"/>
              </w:rPr>
              <w:t xml:space="preserve">Suggestions </w:t>
            </w:r>
          </w:p>
        </w:tc>
      </w:tr>
      <w:tr w:rsidR="002C741A" w:rsidRPr="00A556AE" w14:paraId="5697F009" w14:textId="77777777" w:rsidTr="00D910B5">
        <w:trPr>
          <w:trHeight w:val="375"/>
        </w:trPr>
        <w:tc>
          <w:tcPr>
            <w:tcW w:w="4106" w:type="dxa"/>
            <w:shd w:val="clear" w:color="auto" w:fill="auto"/>
          </w:tcPr>
          <w:p w14:paraId="12588D44" w14:textId="0232E255" w:rsidR="002C741A" w:rsidRPr="00A556AE" w:rsidRDefault="002C741A" w:rsidP="00062D99">
            <w:pPr>
              <w:spacing w:before="120"/>
              <w:rPr>
                <w:sz w:val="20"/>
                <w:szCs w:val="20"/>
              </w:rPr>
            </w:pPr>
            <w:r w:rsidRPr="00A556AE">
              <w:rPr>
                <w:sz w:val="20"/>
                <w:szCs w:val="20"/>
              </w:rPr>
              <w:t>Good existing train-the-t</w:t>
            </w:r>
            <w:r w:rsidR="009F5CFD">
              <w:rPr>
                <w:sz w:val="20"/>
                <w:szCs w:val="20"/>
              </w:rPr>
              <w:t>rainer models across the board</w:t>
            </w:r>
          </w:p>
          <w:p w14:paraId="523586E2" w14:textId="1FC61944" w:rsidR="002C741A" w:rsidRPr="00A556AE" w:rsidRDefault="002C741A" w:rsidP="00D30788">
            <w:pPr>
              <w:rPr>
                <w:sz w:val="20"/>
                <w:szCs w:val="20"/>
              </w:rPr>
            </w:pPr>
            <w:r w:rsidRPr="00A556AE">
              <w:rPr>
                <w:sz w:val="20"/>
                <w:szCs w:val="20"/>
              </w:rPr>
              <w:t>Good examples of wrap around services including work, digital</w:t>
            </w:r>
            <w:r w:rsidR="009F5CFD">
              <w:rPr>
                <w:sz w:val="20"/>
                <w:szCs w:val="20"/>
              </w:rPr>
              <w:t>, bits of housing and pathways</w:t>
            </w:r>
          </w:p>
          <w:p w14:paraId="758991BC" w14:textId="33C7D989" w:rsidR="002C741A" w:rsidRPr="00A556AE" w:rsidRDefault="002C741A" w:rsidP="00D30788">
            <w:pPr>
              <w:rPr>
                <w:sz w:val="20"/>
                <w:szCs w:val="20"/>
              </w:rPr>
            </w:pPr>
            <w:r w:rsidRPr="00A556AE">
              <w:rPr>
                <w:sz w:val="20"/>
                <w:szCs w:val="20"/>
              </w:rPr>
              <w:t>There is a generosity in the sector and willingn</w:t>
            </w:r>
            <w:r w:rsidR="009F5CFD">
              <w:rPr>
                <w:sz w:val="20"/>
                <w:szCs w:val="20"/>
              </w:rPr>
              <w:t>ess to share</w:t>
            </w:r>
          </w:p>
          <w:p w14:paraId="1D6D9818" w14:textId="05BA457C" w:rsidR="002C741A" w:rsidRPr="00A556AE" w:rsidRDefault="002C741A" w:rsidP="00D30788">
            <w:pPr>
              <w:rPr>
                <w:sz w:val="20"/>
                <w:szCs w:val="20"/>
              </w:rPr>
            </w:pPr>
            <w:r w:rsidRPr="00A556AE">
              <w:rPr>
                <w:sz w:val="20"/>
                <w:szCs w:val="20"/>
              </w:rPr>
              <w:t>Good community networks, however not necessarily con</w:t>
            </w:r>
            <w:r w:rsidR="009F5CFD">
              <w:rPr>
                <w:sz w:val="20"/>
                <w:szCs w:val="20"/>
              </w:rPr>
              <w:t>nected with consistent content</w:t>
            </w:r>
          </w:p>
          <w:p w14:paraId="4A9D0088" w14:textId="67E90410" w:rsidR="002C741A" w:rsidRPr="00A556AE" w:rsidRDefault="00BE6B71" w:rsidP="00D30788">
            <w:pPr>
              <w:rPr>
                <w:sz w:val="20"/>
                <w:szCs w:val="20"/>
              </w:rPr>
            </w:pPr>
            <w:r>
              <w:rPr>
                <w:sz w:val="20"/>
                <w:szCs w:val="20"/>
              </w:rPr>
              <w:t>Providing childcare</w:t>
            </w:r>
            <w:r w:rsidR="00792D92">
              <w:rPr>
                <w:sz w:val="20"/>
                <w:szCs w:val="20"/>
              </w:rPr>
              <w:t xml:space="preserve"> at programs is</w:t>
            </w:r>
            <w:r>
              <w:rPr>
                <w:sz w:val="20"/>
                <w:szCs w:val="20"/>
              </w:rPr>
              <w:t xml:space="preserve"> effective</w:t>
            </w:r>
          </w:p>
          <w:p w14:paraId="613E67EE" w14:textId="192B7DAF" w:rsidR="002C741A" w:rsidRPr="00A556AE" w:rsidRDefault="002C741A" w:rsidP="00D30788">
            <w:pPr>
              <w:rPr>
                <w:sz w:val="20"/>
                <w:szCs w:val="20"/>
              </w:rPr>
            </w:pPr>
            <w:r w:rsidRPr="00A556AE">
              <w:rPr>
                <w:sz w:val="20"/>
                <w:szCs w:val="20"/>
              </w:rPr>
              <w:t>Co-location of financ</w:t>
            </w:r>
            <w:r w:rsidR="009F5CFD">
              <w:rPr>
                <w:sz w:val="20"/>
                <w:szCs w:val="20"/>
              </w:rPr>
              <w:t>ial capability crisis services</w:t>
            </w:r>
          </w:p>
          <w:p w14:paraId="6C10CEE1" w14:textId="605C0791" w:rsidR="00BE6B71" w:rsidRDefault="002C741A" w:rsidP="00D30788">
            <w:pPr>
              <w:rPr>
                <w:sz w:val="20"/>
                <w:szCs w:val="20"/>
              </w:rPr>
            </w:pPr>
            <w:r w:rsidRPr="00A556AE">
              <w:rPr>
                <w:sz w:val="20"/>
                <w:szCs w:val="20"/>
              </w:rPr>
              <w:t>Multi-disciplinary partnerships – legal / soc</w:t>
            </w:r>
            <w:r w:rsidR="009F5CFD">
              <w:rPr>
                <w:sz w:val="20"/>
                <w:szCs w:val="20"/>
              </w:rPr>
              <w:t>ial work/financial counsellors</w:t>
            </w:r>
          </w:p>
          <w:p w14:paraId="79537B4B" w14:textId="57C1204B" w:rsidR="002C741A" w:rsidRPr="00A556AE" w:rsidRDefault="00792D92" w:rsidP="00D30788">
            <w:pPr>
              <w:rPr>
                <w:sz w:val="20"/>
                <w:szCs w:val="20"/>
              </w:rPr>
            </w:pPr>
            <w:r>
              <w:rPr>
                <w:sz w:val="20"/>
                <w:szCs w:val="20"/>
              </w:rPr>
              <w:t xml:space="preserve">Co-design with </w:t>
            </w:r>
            <w:r w:rsidR="002C741A" w:rsidRPr="00A556AE">
              <w:rPr>
                <w:sz w:val="20"/>
                <w:szCs w:val="20"/>
              </w:rPr>
              <w:t>women with lived e</w:t>
            </w:r>
            <w:r>
              <w:rPr>
                <w:sz w:val="20"/>
                <w:szCs w:val="20"/>
              </w:rPr>
              <w:t>xperience and in appropriate</w:t>
            </w:r>
            <w:r w:rsidR="009F5CFD">
              <w:rPr>
                <w:sz w:val="20"/>
                <w:szCs w:val="20"/>
              </w:rPr>
              <w:t xml:space="preserve"> language</w:t>
            </w:r>
          </w:p>
          <w:p w14:paraId="12ADDBAB" w14:textId="77777777" w:rsidR="002C741A" w:rsidRPr="00A556AE" w:rsidRDefault="002C741A" w:rsidP="00D30788">
            <w:pPr>
              <w:rPr>
                <w:sz w:val="20"/>
                <w:szCs w:val="20"/>
              </w:rPr>
            </w:pPr>
            <w:r w:rsidRPr="00A556AE">
              <w:rPr>
                <w:sz w:val="20"/>
                <w:szCs w:val="20"/>
              </w:rPr>
              <w:t xml:space="preserve">Multi-platform systems – </w:t>
            </w:r>
            <w:proofErr w:type="spellStart"/>
            <w:r w:rsidRPr="00A556AE">
              <w:rPr>
                <w:sz w:val="20"/>
                <w:szCs w:val="20"/>
              </w:rPr>
              <w:t>Infoxchange</w:t>
            </w:r>
            <w:proofErr w:type="spellEnd"/>
            <w:r w:rsidRPr="00A556AE">
              <w:rPr>
                <w:sz w:val="20"/>
                <w:szCs w:val="20"/>
              </w:rPr>
              <w:t xml:space="preserve"> and community services</w:t>
            </w:r>
          </w:p>
          <w:p w14:paraId="13275288" w14:textId="77777777" w:rsidR="002C741A" w:rsidRPr="00A556AE" w:rsidRDefault="002C741A" w:rsidP="00D30788">
            <w:pPr>
              <w:rPr>
                <w:b/>
                <w:sz w:val="20"/>
                <w:szCs w:val="20"/>
              </w:rPr>
            </w:pPr>
            <w:r w:rsidRPr="00A556AE">
              <w:rPr>
                <w:sz w:val="20"/>
                <w:szCs w:val="20"/>
              </w:rPr>
              <w:lastRenderedPageBreak/>
              <w:t>Tailored education that is flexible</w:t>
            </w:r>
            <w:r w:rsidRPr="00A556AE">
              <w:rPr>
                <w:sz w:val="20"/>
                <w:szCs w:val="20"/>
              </w:rPr>
              <w:br/>
              <w:t>- e.g. Firmer foundations workshops that includes coaching methods.</w:t>
            </w:r>
          </w:p>
        </w:tc>
        <w:tc>
          <w:tcPr>
            <w:tcW w:w="6946" w:type="dxa"/>
            <w:shd w:val="clear" w:color="auto" w:fill="auto"/>
          </w:tcPr>
          <w:p w14:paraId="20E47B22" w14:textId="6E25B6DB" w:rsidR="002C741A" w:rsidRPr="00A556AE" w:rsidRDefault="002C741A" w:rsidP="00062D99">
            <w:pPr>
              <w:spacing w:before="120"/>
              <w:rPr>
                <w:sz w:val="20"/>
                <w:szCs w:val="20"/>
              </w:rPr>
            </w:pPr>
            <w:r w:rsidRPr="00A556AE">
              <w:rPr>
                <w:sz w:val="20"/>
                <w:szCs w:val="20"/>
              </w:rPr>
              <w:lastRenderedPageBreak/>
              <w:t>People needing financial capability suppor</w:t>
            </w:r>
            <w:r w:rsidR="009F5CFD">
              <w:rPr>
                <w:sz w:val="20"/>
                <w:szCs w:val="20"/>
              </w:rPr>
              <w:t>t don’t know what is available</w:t>
            </w:r>
          </w:p>
          <w:p w14:paraId="60E9AFC8" w14:textId="33064C5D" w:rsidR="002C741A" w:rsidRPr="00BE6B71" w:rsidRDefault="002C741A" w:rsidP="00D30788">
            <w:pPr>
              <w:rPr>
                <w:sz w:val="20"/>
                <w:szCs w:val="20"/>
              </w:rPr>
            </w:pPr>
            <w:r w:rsidRPr="00A556AE">
              <w:rPr>
                <w:sz w:val="20"/>
                <w:szCs w:val="20"/>
              </w:rPr>
              <w:t xml:space="preserve">There is no centralised database or information source to get up to date information on </w:t>
            </w:r>
            <w:r w:rsidR="00BE6B71">
              <w:rPr>
                <w:sz w:val="20"/>
                <w:szCs w:val="20"/>
              </w:rPr>
              <w:t>programs for clients or workers</w:t>
            </w:r>
          </w:p>
          <w:p w14:paraId="07B4DAB4" w14:textId="56732BED" w:rsidR="002C741A" w:rsidRPr="00A556AE" w:rsidRDefault="002C741A" w:rsidP="00D30788">
            <w:pPr>
              <w:rPr>
                <w:sz w:val="20"/>
                <w:szCs w:val="20"/>
              </w:rPr>
            </w:pPr>
            <w:r w:rsidRPr="00A556AE">
              <w:rPr>
                <w:sz w:val="20"/>
                <w:szCs w:val="20"/>
              </w:rPr>
              <w:t>A lack of opportunity to network and share – a clear interest in a communities of p</w:t>
            </w:r>
            <w:r w:rsidR="00BE6B71">
              <w:rPr>
                <w:sz w:val="20"/>
                <w:szCs w:val="20"/>
              </w:rPr>
              <w:t>ractice</w:t>
            </w:r>
          </w:p>
          <w:p w14:paraId="1439082B" w14:textId="645C778E" w:rsidR="002C741A" w:rsidRPr="00A556AE" w:rsidRDefault="002C741A" w:rsidP="00D30788">
            <w:pPr>
              <w:rPr>
                <w:sz w:val="20"/>
                <w:szCs w:val="20"/>
              </w:rPr>
            </w:pPr>
            <w:r w:rsidRPr="00A556AE">
              <w:rPr>
                <w:sz w:val="20"/>
                <w:szCs w:val="20"/>
              </w:rPr>
              <w:t xml:space="preserve">Financial counsellors, capability workers and general community organisations are </w:t>
            </w:r>
            <w:proofErr w:type="spellStart"/>
            <w:r w:rsidRPr="00A556AE">
              <w:rPr>
                <w:sz w:val="20"/>
                <w:szCs w:val="20"/>
              </w:rPr>
              <w:t>siloed</w:t>
            </w:r>
            <w:proofErr w:type="spellEnd"/>
            <w:r w:rsidRPr="00A556AE">
              <w:rPr>
                <w:sz w:val="20"/>
                <w:szCs w:val="20"/>
              </w:rPr>
              <w:t>, and do not have clear understanding of what each other a</w:t>
            </w:r>
            <w:r w:rsidR="00792D92">
              <w:rPr>
                <w:sz w:val="20"/>
                <w:szCs w:val="20"/>
              </w:rPr>
              <w:t>re doing or referral pathways</w:t>
            </w:r>
          </w:p>
          <w:p w14:paraId="3E239362" w14:textId="4A9AF613" w:rsidR="002C741A" w:rsidRPr="00A556AE" w:rsidRDefault="002C741A" w:rsidP="00D30788">
            <w:pPr>
              <w:rPr>
                <w:sz w:val="20"/>
                <w:szCs w:val="20"/>
              </w:rPr>
            </w:pPr>
            <w:r w:rsidRPr="00A556AE">
              <w:rPr>
                <w:sz w:val="20"/>
                <w:szCs w:val="20"/>
              </w:rPr>
              <w:t>Coverage of financial capability education and training is very patc</w:t>
            </w:r>
            <w:r w:rsidR="00BE6B71">
              <w:rPr>
                <w:sz w:val="20"/>
                <w:szCs w:val="20"/>
              </w:rPr>
              <w:t>hy across Victoria</w:t>
            </w:r>
          </w:p>
          <w:p w14:paraId="4180180A" w14:textId="4C46DB87" w:rsidR="002C741A" w:rsidRPr="00A556AE" w:rsidRDefault="002C741A" w:rsidP="00D30788">
            <w:pPr>
              <w:rPr>
                <w:sz w:val="20"/>
                <w:szCs w:val="20"/>
              </w:rPr>
            </w:pPr>
            <w:r w:rsidRPr="00A556AE">
              <w:rPr>
                <w:sz w:val="20"/>
                <w:szCs w:val="20"/>
              </w:rPr>
              <w:t>There are no standards on the delivery of financial capabilities. If standards existed it would help support more unifo</w:t>
            </w:r>
            <w:r w:rsidR="00BE6B71">
              <w:rPr>
                <w:sz w:val="20"/>
                <w:szCs w:val="20"/>
              </w:rPr>
              <w:t>rmed and quality implementation</w:t>
            </w:r>
          </w:p>
          <w:p w14:paraId="75D0B7E8" w14:textId="35F4D567" w:rsidR="002C741A" w:rsidRPr="009E225B" w:rsidRDefault="002C741A" w:rsidP="00D30788">
            <w:pPr>
              <w:rPr>
                <w:bCs/>
                <w:sz w:val="20"/>
                <w:szCs w:val="20"/>
              </w:rPr>
            </w:pPr>
            <w:r w:rsidRPr="00A556AE">
              <w:rPr>
                <w:sz w:val="20"/>
                <w:szCs w:val="20"/>
              </w:rPr>
              <w:t>Community workers who engage with marginalised communities are put in the position of providing advice th</w:t>
            </w:r>
            <w:r w:rsidR="00792D92">
              <w:rPr>
                <w:sz w:val="20"/>
                <w:szCs w:val="20"/>
              </w:rPr>
              <w:t xml:space="preserve">ey don’t have training for </w:t>
            </w:r>
            <w:r w:rsidR="00E02E9D">
              <w:rPr>
                <w:sz w:val="20"/>
                <w:szCs w:val="20"/>
              </w:rPr>
              <w:t>e.g.</w:t>
            </w:r>
            <w:r w:rsidR="00792D92">
              <w:rPr>
                <w:sz w:val="20"/>
                <w:szCs w:val="20"/>
              </w:rPr>
              <w:t xml:space="preserve"> disability and NDIS</w:t>
            </w:r>
          </w:p>
          <w:p w14:paraId="2FA9B68B" w14:textId="5492F95B" w:rsidR="002C741A" w:rsidRPr="00A556AE" w:rsidRDefault="002C741A" w:rsidP="00D30788">
            <w:pPr>
              <w:rPr>
                <w:sz w:val="20"/>
                <w:szCs w:val="20"/>
              </w:rPr>
            </w:pPr>
            <w:r w:rsidRPr="00A556AE">
              <w:rPr>
                <w:sz w:val="20"/>
                <w:szCs w:val="20"/>
              </w:rPr>
              <w:t xml:space="preserve">Professionals don’t know how to refer service users to </w:t>
            </w:r>
            <w:r w:rsidR="00BE6B71">
              <w:rPr>
                <w:sz w:val="20"/>
                <w:szCs w:val="20"/>
              </w:rPr>
              <w:t xml:space="preserve">financial capability programs  </w:t>
            </w:r>
          </w:p>
          <w:p w14:paraId="73F95CC1" w14:textId="0C62D8FD" w:rsidR="002C741A" w:rsidRPr="00A556AE" w:rsidRDefault="002C741A" w:rsidP="00D30788">
            <w:pPr>
              <w:rPr>
                <w:sz w:val="20"/>
                <w:szCs w:val="20"/>
              </w:rPr>
            </w:pPr>
            <w:r w:rsidRPr="00A556AE">
              <w:rPr>
                <w:sz w:val="20"/>
                <w:szCs w:val="20"/>
              </w:rPr>
              <w:t xml:space="preserve">NDIS hard to navigate and while managing one’s own money is positive it is not matched with the necessary training </w:t>
            </w:r>
            <w:r w:rsidR="00792D92">
              <w:rPr>
                <w:sz w:val="20"/>
                <w:szCs w:val="20"/>
              </w:rPr>
              <w:t xml:space="preserve">in financial capability </w:t>
            </w:r>
            <w:r w:rsidR="00BE6B71">
              <w:rPr>
                <w:sz w:val="20"/>
                <w:szCs w:val="20"/>
              </w:rPr>
              <w:t xml:space="preserve"> </w:t>
            </w:r>
          </w:p>
          <w:p w14:paraId="40684176" w14:textId="77777777" w:rsidR="002C741A" w:rsidRPr="00A556AE" w:rsidRDefault="002C741A" w:rsidP="00D30788">
            <w:pPr>
              <w:rPr>
                <w:b/>
                <w:sz w:val="20"/>
                <w:szCs w:val="20"/>
              </w:rPr>
            </w:pPr>
            <w:r w:rsidRPr="00A556AE">
              <w:rPr>
                <w:sz w:val="20"/>
                <w:szCs w:val="20"/>
              </w:rPr>
              <w:t xml:space="preserve">Regional women face additional barriers such as lack of employment, transport and services, and low levels of digital inclusion. </w:t>
            </w:r>
          </w:p>
        </w:tc>
        <w:tc>
          <w:tcPr>
            <w:tcW w:w="2693" w:type="dxa"/>
            <w:shd w:val="clear" w:color="auto" w:fill="auto"/>
          </w:tcPr>
          <w:p w14:paraId="08864890" w14:textId="1228F976" w:rsidR="002C741A" w:rsidRPr="00A556AE" w:rsidRDefault="002C741A" w:rsidP="00062D99">
            <w:pPr>
              <w:spacing w:before="120"/>
              <w:rPr>
                <w:sz w:val="20"/>
                <w:szCs w:val="20"/>
              </w:rPr>
            </w:pPr>
            <w:r w:rsidRPr="00A556AE">
              <w:rPr>
                <w:sz w:val="20"/>
                <w:szCs w:val="20"/>
              </w:rPr>
              <w:t>Online data</w:t>
            </w:r>
            <w:r w:rsidR="00BE6B71">
              <w:rPr>
                <w:sz w:val="20"/>
                <w:szCs w:val="20"/>
              </w:rPr>
              <w:t>base for FC training and events</w:t>
            </w:r>
          </w:p>
          <w:p w14:paraId="1CAAC86F" w14:textId="448FD006" w:rsidR="002C741A" w:rsidRPr="00A556AE" w:rsidRDefault="002C741A" w:rsidP="00D30788">
            <w:pPr>
              <w:rPr>
                <w:sz w:val="20"/>
                <w:szCs w:val="20"/>
              </w:rPr>
            </w:pPr>
            <w:r w:rsidRPr="00A556AE">
              <w:rPr>
                <w:sz w:val="20"/>
                <w:szCs w:val="20"/>
              </w:rPr>
              <w:t>More networking events and str</w:t>
            </w:r>
            <w:r w:rsidR="00BE6B71">
              <w:rPr>
                <w:sz w:val="20"/>
                <w:szCs w:val="20"/>
              </w:rPr>
              <w:t xml:space="preserve">onger communities of practice </w:t>
            </w:r>
          </w:p>
          <w:p w14:paraId="1F86AF44" w14:textId="5C2C4D3F" w:rsidR="002C741A" w:rsidRPr="00A556AE" w:rsidRDefault="00BE6B71" w:rsidP="00D30788">
            <w:pPr>
              <w:rPr>
                <w:sz w:val="20"/>
                <w:szCs w:val="20"/>
              </w:rPr>
            </w:pPr>
            <w:r>
              <w:rPr>
                <w:sz w:val="20"/>
                <w:szCs w:val="20"/>
              </w:rPr>
              <w:t xml:space="preserve">Development of FC standards </w:t>
            </w:r>
          </w:p>
          <w:p w14:paraId="1D95BEB1" w14:textId="4840C3D8" w:rsidR="002C741A" w:rsidRPr="00A556AE" w:rsidRDefault="002C741A" w:rsidP="00D30788">
            <w:pPr>
              <w:rPr>
                <w:sz w:val="20"/>
                <w:szCs w:val="20"/>
              </w:rPr>
            </w:pPr>
            <w:r w:rsidRPr="00A556AE">
              <w:rPr>
                <w:sz w:val="20"/>
                <w:szCs w:val="20"/>
              </w:rPr>
              <w:t xml:space="preserve">Create </w:t>
            </w:r>
            <w:r w:rsidR="00BE6B71">
              <w:rPr>
                <w:sz w:val="20"/>
                <w:szCs w:val="20"/>
              </w:rPr>
              <w:t xml:space="preserve">ease of pathways and referrals </w:t>
            </w:r>
          </w:p>
          <w:p w14:paraId="54064EFB" w14:textId="3A948521" w:rsidR="002C741A" w:rsidRPr="00A556AE" w:rsidRDefault="002C741A" w:rsidP="00D30788">
            <w:pPr>
              <w:rPr>
                <w:sz w:val="20"/>
                <w:szCs w:val="20"/>
              </w:rPr>
            </w:pPr>
            <w:r w:rsidRPr="00A556AE">
              <w:rPr>
                <w:sz w:val="20"/>
                <w:szCs w:val="20"/>
              </w:rPr>
              <w:t>Train FC w</w:t>
            </w:r>
            <w:r w:rsidR="00BE6B71">
              <w:rPr>
                <w:sz w:val="20"/>
                <w:szCs w:val="20"/>
              </w:rPr>
              <w:t>orkers in cultural competencies</w:t>
            </w:r>
          </w:p>
          <w:p w14:paraId="505085EA" w14:textId="71C9E2C2" w:rsidR="002C741A" w:rsidRPr="00A556AE" w:rsidRDefault="002C741A" w:rsidP="00D30788">
            <w:pPr>
              <w:rPr>
                <w:sz w:val="20"/>
                <w:szCs w:val="20"/>
              </w:rPr>
            </w:pPr>
            <w:r w:rsidRPr="00A556AE">
              <w:rPr>
                <w:sz w:val="20"/>
                <w:szCs w:val="20"/>
              </w:rPr>
              <w:t>Train community sector workers in FC issues a</w:t>
            </w:r>
            <w:r w:rsidR="00BE6B71">
              <w:rPr>
                <w:sz w:val="20"/>
                <w:szCs w:val="20"/>
              </w:rPr>
              <w:t xml:space="preserve">nd recognising financial abuse </w:t>
            </w:r>
          </w:p>
          <w:p w14:paraId="3C2E4849" w14:textId="26697D6E" w:rsidR="002C741A" w:rsidRPr="00A556AE" w:rsidRDefault="002C741A" w:rsidP="00792D92">
            <w:pPr>
              <w:rPr>
                <w:b/>
                <w:sz w:val="20"/>
                <w:szCs w:val="20"/>
              </w:rPr>
            </w:pPr>
            <w:r w:rsidRPr="00A556AE">
              <w:rPr>
                <w:sz w:val="20"/>
                <w:szCs w:val="20"/>
              </w:rPr>
              <w:t xml:space="preserve">Have more lived experience / identifying positions for women with disabilities, </w:t>
            </w:r>
            <w:r w:rsidR="00EA1D05" w:rsidRPr="00EA1D05">
              <w:rPr>
                <w:sz w:val="20"/>
                <w:szCs w:val="20"/>
              </w:rPr>
              <w:t>migrant, refugee and asylum-seeker women</w:t>
            </w:r>
            <w:r w:rsidRPr="00A556AE">
              <w:rPr>
                <w:sz w:val="20"/>
                <w:szCs w:val="20"/>
              </w:rPr>
              <w:t xml:space="preserve"> and First Nations women</w:t>
            </w:r>
            <w:r w:rsidR="009F5CFD">
              <w:rPr>
                <w:sz w:val="20"/>
                <w:szCs w:val="20"/>
              </w:rPr>
              <w:t>.</w:t>
            </w:r>
          </w:p>
        </w:tc>
      </w:tr>
    </w:tbl>
    <w:p w14:paraId="55014458" w14:textId="77777777" w:rsidR="00D910B5" w:rsidRDefault="00D910B5" w:rsidP="00D910B5">
      <w:pPr>
        <w:spacing w:before="100" w:beforeAutospacing="1" w:after="100" w:afterAutospacing="1" w:line="312" w:lineRule="atLeast"/>
        <w:sectPr w:rsidR="00D910B5" w:rsidSect="00D910B5">
          <w:pgSz w:w="16840" w:h="11899" w:orient="landscape" w:code="9"/>
          <w:pgMar w:top="1440" w:right="1134" w:bottom="1440" w:left="1440" w:header="851" w:footer="567" w:gutter="0"/>
          <w:cols w:space="708"/>
          <w:titlePg/>
          <w:docGrid w:linePitch="360"/>
        </w:sectPr>
      </w:pPr>
    </w:p>
    <w:p w14:paraId="6813211C" w14:textId="655AB2D7" w:rsidR="002C741A" w:rsidRPr="00B72FB3" w:rsidRDefault="00C54F45" w:rsidP="002C741A">
      <w:pPr>
        <w:pStyle w:val="Heading3"/>
      </w:pPr>
      <w:bookmarkStart w:id="13" w:name="_Toc33099979"/>
      <w:r>
        <w:lastRenderedPageBreak/>
        <w:t>Focus g</w:t>
      </w:r>
      <w:r w:rsidR="002C741A" w:rsidRPr="00B72FB3">
        <w:t>roups</w:t>
      </w:r>
      <w:bookmarkEnd w:id="13"/>
    </w:p>
    <w:p w14:paraId="40EA1B5E" w14:textId="77777777" w:rsidR="002C741A" w:rsidRPr="00B72FB3" w:rsidRDefault="002C741A" w:rsidP="002C741A">
      <w:r w:rsidRPr="00B72FB3">
        <w:t>The focus group and interview stage of the co-design process has been based on best practice models, knowledge of financial capability (as explored in the literature review) and was tested with the project’s governance group before commencing with women lived experience.</w:t>
      </w:r>
    </w:p>
    <w:p w14:paraId="7028CA13" w14:textId="67F3D430" w:rsidR="002C741A" w:rsidRPr="00B72FB3" w:rsidRDefault="009003DD" w:rsidP="002C741A">
      <w:r>
        <w:t>The focus for the</w:t>
      </w:r>
      <w:r w:rsidR="002C741A" w:rsidRPr="00B72FB3">
        <w:t xml:space="preserve"> co-design process has been:</w:t>
      </w:r>
    </w:p>
    <w:p w14:paraId="67DD2E71" w14:textId="3E46D859" w:rsidR="002C741A" w:rsidRPr="003A78BC" w:rsidRDefault="002C741A"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Understanding what</w:t>
      </w:r>
      <w:r w:rsidR="009003DD" w:rsidRPr="003A78BC">
        <w:rPr>
          <w:rFonts w:eastAsiaTheme="minorHAnsi" w:cs="Arial"/>
          <w:lang w:val="en-AU"/>
        </w:rPr>
        <w:t xml:space="preserve"> women think financial capability</w:t>
      </w:r>
      <w:r w:rsidRPr="003A78BC">
        <w:rPr>
          <w:rFonts w:eastAsiaTheme="minorHAnsi" w:cs="Arial"/>
          <w:lang w:val="en-AU"/>
        </w:rPr>
        <w:t xml:space="preserve"> is</w:t>
      </w:r>
    </w:p>
    <w:p w14:paraId="2B4B827D" w14:textId="77777777" w:rsidR="002C741A" w:rsidRPr="003A78BC" w:rsidRDefault="002C741A"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What are the skills and knowledge that different women prioritise</w:t>
      </w:r>
    </w:p>
    <w:p w14:paraId="0AD9BC4C" w14:textId="77777777" w:rsidR="002C741A" w:rsidRPr="003A78BC" w:rsidRDefault="002C741A"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 xml:space="preserve">Who do women see and trust for information </w:t>
      </w:r>
    </w:p>
    <w:p w14:paraId="287AA1FB" w14:textId="418C5A7B" w:rsidR="003A78BC" w:rsidRDefault="002C741A" w:rsidP="002C741A">
      <w:pPr>
        <w:pStyle w:val="ListParagraph"/>
        <w:numPr>
          <w:ilvl w:val="0"/>
          <w:numId w:val="42"/>
        </w:numPr>
        <w:spacing w:after="0"/>
        <w:contextualSpacing/>
        <w:rPr>
          <w:rFonts w:eastAsiaTheme="minorHAnsi" w:cs="Arial"/>
          <w:lang w:val="en-AU"/>
        </w:rPr>
      </w:pPr>
      <w:r w:rsidRPr="003A78BC">
        <w:rPr>
          <w:rFonts w:eastAsiaTheme="minorHAnsi" w:cs="Arial"/>
          <w:lang w:val="en-AU"/>
        </w:rPr>
        <w:t xml:space="preserve">Prototype different ideas for the outcome of the </w:t>
      </w:r>
      <w:r w:rsidR="006879EF">
        <w:rPr>
          <w:rFonts w:eastAsiaTheme="minorHAnsi" w:cs="Arial"/>
          <w:lang w:val="en-AU"/>
        </w:rPr>
        <w:t>WFCP.</w:t>
      </w:r>
      <w:r w:rsidRPr="003A78BC">
        <w:rPr>
          <w:rFonts w:eastAsiaTheme="minorHAnsi" w:cs="Arial"/>
          <w:lang w:val="en-AU"/>
        </w:rPr>
        <w:t xml:space="preserve"> </w:t>
      </w:r>
    </w:p>
    <w:p w14:paraId="64E598E4" w14:textId="77777777" w:rsidR="003A78BC" w:rsidRDefault="003A78BC" w:rsidP="003A78BC">
      <w:pPr>
        <w:pStyle w:val="ListParagraph"/>
        <w:numPr>
          <w:ilvl w:val="0"/>
          <w:numId w:val="0"/>
        </w:numPr>
        <w:spacing w:after="0"/>
        <w:ind w:left="720"/>
        <w:contextualSpacing/>
        <w:rPr>
          <w:rFonts w:eastAsiaTheme="minorHAnsi" w:cs="Arial"/>
          <w:lang w:val="en-AU"/>
        </w:rPr>
      </w:pPr>
    </w:p>
    <w:p w14:paraId="0E03DFCA" w14:textId="03A4D0A9" w:rsidR="002C741A" w:rsidRPr="003A78BC" w:rsidRDefault="002C741A" w:rsidP="003A78BC">
      <w:pPr>
        <w:spacing w:after="0"/>
        <w:contextualSpacing/>
        <w:rPr>
          <w:rFonts w:eastAsiaTheme="minorHAnsi" w:cs="Arial"/>
          <w:lang w:val="en-AU"/>
        </w:rPr>
      </w:pPr>
      <w:r w:rsidRPr="00B72FB3">
        <w:t xml:space="preserve">Methodology: </w:t>
      </w:r>
    </w:p>
    <w:p w14:paraId="45AD048D" w14:textId="77777777" w:rsidR="002C741A" w:rsidRPr="003A78BC" w:rsidRDefault="002C741A"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Both group discussion and individual reflection has been included in the design of the focus groups</w:t>
      </w:r>
    </w:p>
    <w:p w14:paraId="19946998" w14:textId="77777777" w:rsidR="002C741A" w:rsidRPr="003A78BC" w:rsidRDefault="002C741A" w:rsidP="003A78BC">
      <w:pPr>
        <w:pStyle w:val="ListParagraph"/>
        <w:numPr>
          <w:ilvl w:val="0"/>
          <w:numId w:val="42"/>
        </w:numPr>
        <w:spacing w:after="0"/>
        <w:contextualSpacing/>
        <w:rPr>
          <w:rFonts w:eastAsiaTheme="minorHAnsi" w:cs="Arial"/>
          <w:lang w:val="en-AU"/>
        </w:rPr>
      </w:pPr>
      <w:r w:rsidRPr="003A78BC">
        <w:rPr>
          <w:rFonts w:eastAsiaTheme="minorHAnsi" w:cs="Arial"/>
          <w:lang w:val="en-AU"/>
        </w:rPr>
        <w:t xml:space="preserve">Written and verbal options were given to cater to preferences and to be cognisant of privacy, confidence and cultural issues around finances. </w:t>
      </w:r>
    </w:p>
    <w:p w14:paraId="394772A0" w14:textId="07251BA9" w:rsidR="009E225B" w:rsidRPr="002421A3" w:rsidRDefault="002C741A" w:rsidP="003A78BC">
      <w:pPr>
        <w:spacing w:before="120" w:line="276" w:lineRule="auto"/>
      </w:pPr>
      <w:r w:rsidRPr="00B72FB3">
        <w:rPr>
          <w:rFonts w:cs="Arial"/>
        </w:rPr>
        <w:t xml:space="preserve">Five focus groups have been held to date, and </w:t>
      </w:r>
      <w:r w:rsidRPr="00B72FB3">
        <w:t xml:space="preserve">additional focus groups and interviews are being organised for First Nations women, including Koori </w:t>
      </w:r>
      <w:r w:rsidR="00920C63" w:rsidRPr="00B72FB3">
        <w:t>mums</w:t>
      </w:r>
      <w:r w:rsidRPr="00B72FB3">
        <w:t xml:space="preserve"> and bubs (</w:t>
      </w:r>
      <w:r w:rsidR="002421A3">
        <w:t xml:space="preserve">South Melbourne primary care). </w:t>
      </w:r>
    </w:p>
    <w:p w14:paraId="5C3F739A" w14:textId="666DAF70" w:rsidR="002421A3" w:rsidRDefault="002421A3" w:rsidP="002421A3">
      <w:pPr>
        <w:spacing w:after="0"/>
      </w:pPr>
      <w:r w:rsidRPr="00B72FB3">
        <w:t>We will be continuing focus groups throughout the process of piloting, refining and evaluating the project. In particular we will</w:t>
      </w:r>
      <w:r w:rsidR="00AA2AFA">
        <w:t xml:space="preserve"> be</w:t>
      </w:r>
      <w:r w:rsidRPr="00B72FB3">
        <w:t xml:space="preserve"> consulting on the marketing and outreach stage of the project. This will ensure content, delivery and promotion is accessible and culturally appropriate</w:t>
      </w:r>
      <w:r w:rsidR="009003DD">
        <w:t xml:space="preserve"> in</w:t>
      </w:r>
      <w:r w:rsidRPr="00B72FB3">
        <w:t xml:space="preserve"> formats and places. Common in focus group feedback to date is the comment ‘I wish I had known about services sooner’ and ‘I don’t know what</w:t>
      </w:r>
      <w:r w:rsidR="009003DD">
        <w:t xml:space="preserve"> to get help’. By designing the marketing and outreach</w:t>
      </w:r>
      <w:r w:rsidRPr="00B72FB3">
        <w:t xml:space="preserve"> element</w:t>
      </w:r>
      <w:r w:rsidR="009003DD">
        <w:t xml:space="preserve">s of the </w:t>
      </w:r>
      <w:r w:rsidR="006879EF">
        <w:t>WFCP</w:t>
      </w:r>
      <w:r w:rsidRPr="00B72FB3">
        <w:t xml:space="preserve"> with the intended users we will increase the reach </w:t>
      </w:r>
      <w:r w:rsidR="009003DD">
        <w:t xml:space="preserve">and success </w:t>
      </w:r>
      <w:r w:rsidRPr="00B72FB3">
        <w:t xml:space="preserve">of the project. </w:t>
      </w:r>
    </w:p>
    <w:p w14:paraId="30FFC350" w14:textId="77777777" w:rsidR="002421A3" w:rsidRPr="002421A3" w:rsidRDefault="002421A3" w:rsidP="002421A3">
      <w:pPr>
        <w:spacing w:after="0"/>
      </w:pPr>
    </w:p>
    <w:p w14:paraId="7F99695B" w14:textId="77777777" w:rsidR="002421A3" w:rsidRPr="002421A3" w:rsidRDefault="002421A3" w:rsidP="002421A3">
      <w:pPr>
        <w:spacing w:after="120" w:line="276" w:lineRule="auto"/>
        <w:rPr>
          <w:rFonts w:cs="Arial"/>
        </w:rPr>
      </w:pPr>
      <w:r w:rsidRPr="009F5CFD">
        <w:t xml:space="preserve">See </w:t>
      </w:r>
      <w:r>
        <w:t>Table 3 on the following page for k</w:t>
      </w:r>
      <w:r w:rsidRPr="009F5CFD">
        <w:t>ey learnings from focus groups</w:t>
      </w:r>
      <w:r>
        <w:t>.</w:t>
      </w:r>
      <w:r w:rsidRPr="009F5CFD">
        <w:t xml:space="preserve"> </w:t>
      </w:r>
    </w:p>
    <w:p w14:paraId="212766A4" w14:textId="77777777" w:rsidR="002421A3" w:rsidRDefault="002421A3" w:rsidP="002C741A">
      <w:pPr>
        <w:spacing w:line="276" w:lineRule="auto"/>
        <w:rPr>
          <w:b/>
        </w:rPr>
        <w:sectPr w:rsidR="002421A3" w:rsidSect="00D910B5">
          <w:pgSz w:w="11899" w:h="16840" w:code="9"/>
          <w:pgMar w:top="1134" w:right="1440" w:bottom="1440" w:left="1440" w:header="851" w:footer="567" w:gutter="0"/>
          <w:cols w:space="708"/>
          <w:titlePg/>
          <w:docGrid w:linePitch="360"/>
        </w:sectPr>
      </w:pPr>
    </w:p>
    <w:p w14:paraId="3C3A5E6B" w14:textId="61708462" w:rsidR="002C741A" w:rsidRPr="009F5CFD" w:rsidRDefault="009F5CFD" w:rsidP="00C71216">
      <w:pPr>
        <w:spacing w:after="120" w:line="276" w:lineRule="auto"/>
        <w:ind w:hanging="284"/>
        <w:rPr>
          <w:rFonts w:cs="Arial"/>
          <w:b/>
          <w:i/>
        </w:rPr>
      </w:pPr>
      <w:r w:rsidRPr="009F5CFD">
        <w:rPr>
          <w:b/>
          <w:i/>
        </w:rPr>
        <w:lastRenderedPageBreak/>
        <w:t xml:space="preserve">Table 3. </w:t>
      </w:r>
      <w:r w:rsidR="002C741A" w:rsidRPr="009F5CFD">
        <w:rPr>
          <w:b/>
          <w:i/>
        </w:rPr>
        <w:t>Key learnings</w:t>
      </w:r>
      <w:r w:rsidRPr="009F5CFD">
        <w:rPr>
          <w:b/>
          <w:i/>
        </w:rPr>
        <w:t xml:space="preserve"> from focus groups </w:t>
      </w:r>
    </w:p>
    <w:tbl>
      <w:tblPr>
        <w:tblStyle w:val="TableGrid"/>
        <w:tblW w:w="14883" w:type="dxa"/>
        <w:tblInd w:w="-431" w:type="dxa"/>
        <w:tblLayout w:type="fixed"/>
        <w:tblLook w:val="04A0" w:firstRow="1" w:lastRow="0" w:firstColumn="1" w:lastColumn="0" w:noHBand="0" w:noVBand="1"/>
      </w:tblPr>
      <w:tblGrid>
        <w:gridCol w:w="426"/>
        <w:gridCol w:w="2693"/>
        <w:gridCol w:w="2694"/>
        <w:gridCol w:w="3685"/>
        <w:gridCol w:w="2551"/>
        <w:gridCol w:w="2834"/>
      </w:tblGrid>
      <w:tr w:rsidR="002C741A" w:rsidRPr="001B7C8A" w14:paraId="69BA7448" w14:textId="77777777" w:rsidTr="002073CC">
        <w:trPr>
          <w:cantSplit/>
          <w:trHeight w:val="1103"/>
        </w:trPr>
        <w:tc>
          <w:tcPr>
            <w:tcW w:w="426" w:type="dxa"/>
            <w:shd w:val="clear" w:color="auto" w:fill="FBBD85"/>
            <w:textDirection w:val="btLr"/>
          </w:tcPr>
          <w:p w14:paraId="2645081D" w14:textId="334D9DE1" w:rsidR="002C741A" w:rsidRPr="001B7C8A" w:rsidRDefault="0008288A" w:rsidP="00C71216">
            <w:pPr>
              <w:ind w:left="113" w:right="113"/>
              <w:jc w:val="center"/>
              <w:rPr>
                <w:b/>
                <w:sz w:val="20"/>
                <w:szCs w:val="20"/>
              </w:rPr>
            </w:pPr>
            <w:r>
              <w:rPr>
                <w:b/>
                <w:sz w:val="20"/>
                <w:szCs w:val="20"/>
              </w:rPr>
              <w:t>WHO</w:t>
            </w:r>
          </w:p>
        </w:tc>
        <w:tc>
          <w:tcPr>
            <w:tcW w:w="2693" w:type="dxa"/>
            <w:tcBorders>
              <w:bottom w:val="single" w:sz="4" w:space="0" w:color="000000" w:themeColor="text1"/>
            </w:tcBorders>
            <w:shd w:val="clear" w:color="auto" w:fill="F8983E"/>
          </w:tcPr>
          <w:p w14:paraId="28715612" w14:textId="77777777" w:rsidR="00C71216" w:rsidRDefault="002C741A" w:rsidP="00C71216">
            <w:pPr>
              <w:rPr>
                <w:b/>
                <w:sz w:val="20"/>
                <w:szCs w:val="20"/>
              </w:rPr>
            </w:pPr>
            <w:r w:rsidRPr="001B7C8A">
              <w:rPr>
                <w:b/>
                <w:sz w:val="20"/>
                <w:szCs w:val="20"/>
              </w:rPr>
              <w:t xml:space="preserve">SHARED THEMES </w:t>
            </w:r>
          </w:p>
          <w:p w14:paraId="415500D3" w14:textId="1EFFC37D" w:rsidR="002C741A" w:rsidRPr="001B7C8A" w:rsidRDefault="002C741A" w:rsidP="00C71216">
            <w:pPr>
              <w:rPr>
                <w:b/>
                <w:sz w:val="20"/>
                <w:szCs w:val="20"/>
              </w:rPr>
            </w:pPr>
            <w:r w:rsidRPr="001B7C8A">
              <w:rPr>
                <w:b/>
                <w:sz w:val="20"/>
                <w:szCs w:val="20"/>
              </w:rPr>
              <w:t>ACROSS WOMEN</w:t>
            </w:r>
          </w:p>
        </w:tc>
        <w:tc>
          <w:tcPr>
            <w:tcW w:w="2694" w:type="dxa"/>
            <w:shd w:val="clear" w:color="auto" w:fill="F8983E"/>
          </w:tcPr>
          <w:p w14:paraId="1FF41589" w14:textId="769F95D2" w:rsidR="002C741A" w:rsidRPr="00263A7E" w:rsidRDefault="00263A7E" w:rsidP="00C71216">
            <w:pPr>
              <w:rPr>
                <w:b/>
                <w:caps/>
                <w:sz w:val="20"/>
                <w:szCs w:val="20"/>
              </w:rPr>
            </w:pPr>
            <w:r w:rsidRPr="00263A7E">
              <w:rPr>
                <w:b/>
                <w:caps/>
                <w:sz w:val="20"/>
                <w:szCs w:val="20"/>
              </w:rPr>
              <w:t>migrant, refugee and asylum-seeker women</w:t>
            </w:r>
          </w:p>
        </w:tc>
        <w:tc>
          <w:tcPr>
            <w:tcW w:w="3685" w:type="dxa"/>
            <w:shd w:val="clear" w:color="auto" w:fill="F8983E"/>
          </w:tcPr>
          <w:p w14:paraId="5C2C963E" w14:textId="2FBDD8BF" w:rsidR="002C741A" w:rsidRPr="0008288A" w:rsidRDefault="002C741A" w:rsidP="00C71216">
            <w:pPr>
              <w:rPr>
                <w:b/>
                <w:sz w:val="20"/>
                <w:szCs w:val="20"/>
              </w:rPr>
            </w:pPr>
            <w:r w:rsidRPr="001B7C8A">
              <w:rPr>
                <w:b/>
                <w:sz w:val="20"/>
                <w:szCs w:val="20"/>
              </w:rPr>
              <w:t>WOMEN WITH A DISABILITY</w:t>
            </w:r>
          </w:p>
        </w:tc>
        <w:tc>
          <w:tcPr>
            <w:tcW w:w="2551" w:type="dxa"/>
            <w:shd w:val="clear" w:color="auto" w:fill="F8983E"/>
          </w:tcPr>
          <w:p w14:paraId="358CC0EF" w14:textId="70B9F177" w:rsidR="002C741A" w:rsidRPr="001B7C8A" w:rsidRDefault="002C741A" w:rsidP="00C71216">
            <w:pPr>
              <w:rPr>
                <w:b/>
                <w:sz w:val="20"/>
                <w:szCs w:val="20"/>
              </w:rPr>
            </w:pPr>
            <w:r w:rsidRPr="001B7C8A">
              <w:rPr>
                <w:b/>
                <w:sz w:val="20"/>
                <w:szCs w:val="20"/>
              </w:rPr>
              <w:t>FIRST NATIONS</w:t>
            </w:r>
          </w:p>
        </w:tc>
        <w:tc>
          <w:tcPr>
            <w:tcW w:w="2834" w:type="dxa"/>
            <w:shd w:val="clear" w:color="auto" w:fill="F8983E"/>
          </w:tcPr>
          <w:p w14:paraId="73D266B0" w14:textId="77777777" w:rsidR="002C741A" w:rsidRPr="001B7C8A" w:rsidRDefault="002C741A" w:rsidP="00C71216">
            <w:pPr>
              <w:rPr>
                <w:b/>
                <w:sz w:val="20"/>
                <w:szCs w:val="20"/>
              </w:rPr>
            </w:pPr>
            <w:r w:rsidRPr="001B7C8A">
              <w:rPr>
                <w:b/>
                <w:sz w:val="20"/>
                <w:szCs w:val="20"/>
              </w:rPr>
              <w:t>WOMEN WITH EXPEREINCE OF HOMELESSESS / INCARCERATION</w:t>
            </w:r>
          </w:p>
        </w:tc>
      </w:tr>
      <w:tr w:rsidR="002C741A" w:rsidRPr="001B7C8A" w14:paraId="38617067" w14:textId="77777777" w:rsidTr="002073CC">
        <w:trPr>
          <w:cantSplit/>
          <w:trHeight w:val="2162"/>
        </w:trPr>
        <w:tc>
          <w:tcPr>
            <w:tcW w:w="426" w:type="dxa"/>
            <w:shd w:val="clear" w:color="auto" w:fill="FBBD85"/>
            <w:textDirection w:val="btLr"/>
          </w:tcPr>
          <w:p w14:paraId="690D1E97" w14:textId="43AE8F1D" w:rsidR="00BE6B71" w:rsidRPr="001B7C8A" w:rsidRDefault="0008288A" w:rsidP="00C71216">
            <w:pPr>
              <w:ind w:left="113" w:right="113"/>
              <w:jc w:val="center"/>
              <w:rPr>
                <w:b/>
                <w:caps/>
                <w:sz w:val="20"/>
                <w:szCs w:val="20"/>
              </w:rPr>
            </w:pPr>
            <w:r>
              <w:rPr>
                <w:b/>
                <w:caps/>
                <w:sz w:val="20"/>
                <w:szCs w:val="20"/>
              </w:rPr>
              <w:t>quote</w:t>
            </w:r>
          </w:p>
          <w:p w14:paraId="4B4833EB" w14:textId="77777777" w:rsidR="00BE6B71" w:rsidRPr="001B7C8A" w:rsidRDefault="002C741A" w:rsidP="00C71216">
            <w:pPr>
              <w:ind w:left="113" w:right="113"/>
              <w:jc w:val="center"/>
              <w:rPr>
                <w:b/>
                <w:caps/>
                <w:sz w:val="20"/>
                <w:szCs w:val="20"/>
              </w:rPr>
            </w:pPr>
            <w:r w:rsidRPr="001B7C8A">
              <w:rPr>
                <w:b/>
                <w:caps/>
                <w:sz w:val="20"/>
                <w:szCs w:val="20"/>
              </w:rPr>
              <w:t>u</w:t>
            </w:r>
          </w:p>
          <w:p w14:paraId="5FB0A208" w14:textId="2BFC8EC5" w:rsidR="002C741A" w:rsidRPr="001B7C8A" w:rsidRDefault="002C741A" w:rsidP="00C71216">
            <w:pPr>
              <w:ind w:left="113" w:right="113"/>
              <w:jc w:val="center"/>
              <w:rPr>
                <w:b/>
                <w:caps/>
                <w:sz w:val="20"/>
                <w:szCs w:val="20"/>
              </w:rPr>
            </w:pPr>
            <w:r w:rsidRPr="001B7C8A">
              <w:rPr>
                <w:b/>
                <w:caps/>
                <w:sz w:val="20"/>
                <w:szCs w:val="20"/>
              </w:rPr>
              <w:t>o</w:t>
            </w:r>
          </w:p>
          <w:p w14:paraId="1644E4CD" w14:textId="77777777" w:rsidR="002C741A" w:rsidRPr="001B7C8A" w:rsidRDefault="002C741A" w:rsidP="00C71216">
            <w:pPr>
              <w:ind w:left="113" w:right="113"/>
              <w:jc w:val="center"/>
              <w:rPr>
                <w:b/>
                <w:caps/>
                <w:sz w:val="20"/>
                <w:szCs w:val="20"/>
              </w:rPr>
            </w:pPr>
            <w:r w:rsidRPr="001B7C8A">
              <w:rPr>
                <w:b/>
                <w:caps/>
                <w:sz w:val="20"/>
                <w:szCs w:val="20"/>
              </w:rPr>
              <w:t>T</w:t>
            </w:r>
          </w:p>
          <w:p w14:paraId="6C0A426B" w14:textId="77777777" w:rsidR="002C741A" w:rsidRPr="001B7C8A" w:rsidRDefault="002C741A" w:rsidP="00C71216">
            <w:pPr>
              <w:ind w:left="113" w:right="113"/>
              <w:jc w:val="center"/>
              <w:rPr>
                <w:b/>
                <w:sz w:val="20"/>
                <w:szCs w:val="20"/>
              </w:rPr>
            </w:pPr>
            <w:r w:rsidRPr="001B7C8A">
              <w:rPr>
                <w:b/>
                <w:caps/>
                <w:sz w:val="20"/>
                <w:szCs w:val="20"/>
              </w:rPr>
              <w:t>e</w:t>
            </w:r>
          </w:p>
        </w:tc>
        <w:tc>
          <w:tcPr>
            <w:tcW w:w="2693" w:type="dxa"/>
            <w:tcBorders>
              <w:bottom w:val="single" w:sz="4" w:space="0" w:color="000000" w:themeColor="text1"/>
            </w:tcBorders>
            <w:shd w:val="clear" w:color="auto" w:fill="F2F2F2" w:themeFill="background1" w:themeFillShade="F2"/>
          </w:tcPr>
          <w:p w14:paraId="60A2FAAE" w14:textId="77777777" w:rsidR="002C741A" w:rsidRPr="001B7C8A" w:rsidRDefault="002C741A" w:rsidP="0008288A">
            <w:pPr>
              <w:spacing w:after="0"/>
              <w:rPr>
                <w:sz w:val="20"/>
                <w:szCs w:val="20"/>
              </w:rPr>
            </w:pPr>
          </w:p>
        </w:tc>
        <w:tc>
          <w:tcPr>
            <w:tcW w:w="2694" w:type="dxa"/>
          </w:tcPr>
          <w:p w14:paraId="7A7889E8" w14:textId="4CEF5577" w:rsidR="002C741A" w:rsidRPr="0008288A" w:rsidRDefault="002C741A" w:rsidP="00062D99">
            <w:pPr>
              <w:spacing w:before="120" w:after="0"/>
              <w:rPr>
                <w:rFonts w:cstheme="minorHAnsi"/>
                <w:i/>
                <w:sz w:val="20"/>
                <w:szCs w:val="20"/>
              </w:rPr>
            </w:pPr>
            <w:r w:rsidRPr="001B7C8A">
              <w:rPr>
                <w:rFonts w:cstheme="minorHAnsi"/>
                <w:i/>
                <w:sz w:val="20"/>
                <w:szCs w:val="20"/>
              </w:rPr>
              <w:t>“I didn’t know where to get advice from, who to talk</w:t>
            </w:r>
            <w:r w:rsidR="002C3C09">
              <w:rPr>
                <w:rFonts w:cstheme="minorHAnsi"/>
                <w:i/>
                <w:sz w:val="20"/>
                <w:szCs w:val="20"/>
              </w:rPr>
              <w:t xml:space="preserve"> to, </w:t>
            </w:r>
            <w:r w:rsidRPr="001B7C8A">
              <w:rPr>
                <w:rFonts w:cstheme="minorHAnsi"/>
                <w:i/>
                <w:sz w:val="20"/>
                <w:szCs w:val="20"/>
              </w:rPr>
              <w:t>what sort of support is available, so I just at a loss. I really wanted to know basic information to live in Australia when I arrive.”</w:t>
            </w:r>
          </w:p>
        </w:tc>
        <w:tc>
          <w:tcPr>
            <w:tcW w:w="3685" w:type="dxa"/>
          </w:tcPr>
          <w:p w14:paraId="6C748D28" w14:textId="4BC6E558" w:rsidR="002C741A" w:rsidRPr="0008288A" w:rsidRDefault="002C741A" w:rsidP="00062D99">
            <w:pPr>
              <w:spacing w:before="120" w:after="0"/>
              <w:rPr>
                <w:i/>
                <w:sz w:val="20"/>
                <w:szCs w:val="20"/>
              </w:rPr>
            </w:pPr>
            <w:r w:rsidRPr="001B7C8A">
              <w:rPr>
                <w:i/>
                <w:sz w:val="20"/>
                <w:szCs w:val="20"/>
              </w:rPr>
              <w:t>“Meet the needs of women with disabilities in all their diversity”</w:t>
            </w:r>
          </w:p>
        </w:tc>
        <w:tc>
          <w:tcPr>
            <w:tcW w:w="2551" w:type="dxa"/>
          </w:tcPr>
          <w:p w14:paraId="4E583363" w14:textId="7DDBBAF8" w:rsidR="002C741A" w:rsidRPr="001B7C8A" w:rsidRDefault="002C741A" w:rsidP="00062D99">
            <w:pPr>
              <w:spacing w:before="120" w:after="0" w:line="259" w:lineRule="auto"/>
              <w:rPr>
                <w:i/>
                <w:sz w:val="20"/>
                <w:szCs w:val="20"/>
              </w:rPr>
            </w:pPr>
            <w:r w:rsidRPr="001B7C8A">
              <w:rPr>
                <w:i/>
                <w:sz w:val="20"/>
                <w:szCs w:val="20"/>
              </w:rPr>
              <w:t>“I would never approach a government service for help as they have caused so much harm in the past to Aboriginal people e</w:t>
            </w:r>
            <w:r w:rsidR="002C3C09">
              <w:rPr>
                <w:i/>
                <w:sz w:val="20"/>
                <w:szCs w:val="20"/>
              </w:rPr>
              <w:t>specially the Stolen G</w:t>
            </w:r>
            <w:r w:rsidR="0008288A">
              <w:rPr>
                <w:i/>
                <w:sz w:val="20"/>
                <w:szCs w:val="20"/>
              </w:rPr>
              <w:t>eneration”</w:t>
            </w:r>
          </w:p>
        </w:tc>
        <w:tc>
          <w:tcPr>
            <w:tcW w:w="2834" w:type="dxa"/>
          </w:tcPr>
          <w:p w14:paraId="3F90FDB2" w14:textId="29F82173" w:rsidR="002C741A" w:rsidRPr="0008288A" w:rsidRDefault="002C741A" w:rsidP="00062D99">
            <w:pPr>
              <w:spacing w:before="120" w:after="0"/>
              <w:rPr>
                <w:i/>
                <w:sz w:val="20"/>
                <w:szCs w:val="20"/>
              </w:rPr>
            </w:pPr>
            <w:r w:rsidRPr="001B7C8A">
              <w:rPr>
                <w:i/>
                <w:sz w:val="20"/>
                <w:szCs w:val="20"/>
              </w:rPr>
              <w:t>“I don’t have super. I don’t need super cause no one will hire me….If you allow me to work then I will find out about super”</w:t>
            </w:r>
          </w:p>
        </w:tc>
      </w:tr>
      <w:tr w:rsidR="002C741A" w:rsidRPr="001B7C8A" w14:paraId="212095EC" w14:textId="77777777" w:rsidTr="002073CC">
        <w:trPr>
          <w:cantSplit/>
          <w:trHeight w:val="1134"/>
        </w:trPr>
        <w:tc>
          <w:tcPr>
            <w:tcW w:w="426" w:type="dxa"/>
            <w:shd w:val="clear" w:color="auto" w:fill="FBBD85"/>
            <w:textDirection w:val="btLr"/>
          </w:tcPr>
          <w:p w14:paraId="48B63481" w14:textId="1AB5253A" w:rsidR="002C741A" w:rsidRPr="001B7C8A" w:rsidRDefault="0008288A" w:rsidP="00C71216">
            <w:pPr>
              <w:ind w:left="113" w:right="113"/>
              <w:jc w:val="center"/>
              <w:rPr>
                <w:b/>
                <w:sz w:val="20"/>
                <w:szCs w:val="20"/>
              </w:rPr>
            </w:pPr>
            <w:r>
              <w:rPr>
                <w:b/>
                <w:sz w:val="20"/>
                <w:szCs w:val="20"/>
              </w:rPr>
              <w:t>KEY LEARNINGS</w:t>
            </w:r>
          </w:p>
        </w:tc>
        <w:tc>
          <w:tcPr>
            <w:tcW w:w="2693" w:type="dxa"/>
            <w:tcBorders>
              <w:top w:val="single" w:sz="4" w:space="0" w:color="000000" w:themeColor="text1"/>
            </w:tcBorders>
          </w:tcPr>
          <w:p w14:paraId="4188D938" w14:textId="44A80FA3" w:rsidR="002C741A" w:rsidRPr="001B7C8A" w:rsidRDefault="002C741A" w:rsidP="00062D99">
            <w:pPr>
              <w:spacing w:before="120" w:after="120"/>
              <w:rPr>
                <w:sz w:val="20"/>
                <w:szCs w:val="20"/>
              </w:rPr>
            </w:pPr>
            <w:r w:rsidRPr="001B7C8A">
              <w:rPr>
                <w:sz w:val="20"/>
                <w:szCs w:val="20"/>
              </w:rPr>
              <w:t>Lack of in</w:t>
            </w:r>
            <w:r w:rsidR="00DD15BA" w:rsidRPr="001B7C8A">
              <w:rPr>
                <w:sz w:val="20"/>
                <w:szCs w:val="20"/>
              </w:rPr>
              <w:t>formation on available services</w:t>
            </w:r>
          </w:p>
          <w:p w14:paraId="7B6A91F8" w14:textId="2C9D7796" w:rsidR="002C741A" w:rsidRPr="001B7C8A" w:rsidRDefault="002C741A" w:rsidP="0008288A">
            <w:pPr>
              <w:spacing w:after="120"/>
              <w:rPr>
                <w:sz w:val="20"/>
                <w:szCs w:val="20"/>
              </w:rPr>
            </w:pPr>
            <w:r w:rsidRPr="001B7C8A">
              <w:rPr>
                <w:sz w:val="20"/>
                <w:szCs w:val="20"/>
              </w:rPr>
              <w:t>Existing services be</w:t>
            </w:r>
            <w:r w:rsidR="00DD15BA" w:rsidRPr="001B7C8A">
              <w:rPr>
                <w:sz w:val="20"/>
                <w:szCs w:val="20"/>
              </w:rPr>
              <w:t>ing not sufficiently responsive</w:t>
            </w:r>
          </w:p>
          <w:p w14:paraId="3026DD4A" w14:textId="452415BA" w:rsidR="002C741A" w:rsidRPr="001B7C8A" w:rsidRDefault="002C741A" w:rsidP="0008288A">
            <w:pPr>
              <w:spacing w:after="120"/>
              <w:rPr>
                <w:sz w:val="20"/>
                <w:szCs w:val="20"/>
              </w:rPr>
            </w:pPr>
            <w:r w:rsidRPr="001B7C8A">
              <w:rPr>
                <w:sz w:val="20"/>
                <w:szCs w:val="20"/>
              </w:rPr>
              <w:t>Finan</w:t>
            </w:r>
            <w:r w:rsidR="00DD15BA" w:rsidRPr="001B7C8A">
              <w:rPr>
                <w:sz w:val="20"/>
                <w:szCs w:val="20"/>
              </w:rPr>
              <w:t xml:space="preserve">cial abuse and family violence </w:t>
            </w:r>
          </w:p>
          <w:p w14:paraId="5E043659" w14:textId="77777777" w:rsidR="002C741A" w:rsidRPr="001B7C8A" w:rsidRDefault="002C741A" w:rsidP="0008288A">
            <w:pPr>
              <w:spacing w:after="120"/>
              <w:rPr>
                <w:sz w:val="20"/>
                <w:szCs w:val="20"/>
              </w:rPr>
            </w:pPr>
            <w:r w:rsidRPr="001B7C8A">
              <w:rPr>
                <w:sz w:val="20"/>
                <w:szCs w:val="20"/>
              </w:rPr>
              <w:t xml:space="preserve">Gaps in services / resources when not in ‘crisis’ situation </w:t>
            </w:r>
          </w:p>
          <w:p w14:paraId="1169D70D" w14:textId="1ABD90A2" w:rsidR="002C741A" w:rsidRPr="001B7C8A" w:rsidRDefault="002C741A" w:rsidP="0008288A">
            <w:pPr>
              <w:spacing w:after="120"/>
              <w:rPr>
                <w:sz w:val="20"/>
                <w:szCs w:val="20"/>
              </w:rPr>
            </w:pPr>
            <w:r w:rsidRPr="001B7C8A">
              <w:rPr>
                <w:sz w:val="20"/>
                <w:szCs w:val="20"/>
              </w:rPr>
              <w:t>How/ w</w:t>
            </w:r>
            <w:r w:rsidR="00DD15BA" w:rsidRPr="001B7C8A">
              <w:rPr>
                <w:sz w:val="20"/>
                <w:szCs w:val="20"/>
              </w:rPr>
              <w:t>hen women can learn about money</w:t>
            </w:r>
          </w:p>
          <w:p w14:paraId="565B0221" w14:textId="0AAFEF59" w:rsidR="002C741A" w:rsidRPr="001B7C8A" w:rsidRDefault="002C3C09" w:rsidP="0008288A">
            <w:pPr>
              <w:spacing w:after="120"/>
              <w:rPr>
                <w:sz w:val="20"/>
                <w:szCs w:val="20"/>
              </w:rPr>
            </w:pPr>
            <w:r>
              <w:rPr>
                <w:sz w:val="20"/>
                <w:szCs w:val="20"/>
              </w:rPr>
              <w:t>Gender r</w:t>
            </w:r>
            <w:r w:rsidR="00DD15BA" w:rsidRPr="001B7C8A">
              <w:rPr>
                <w:sz w:val="20"/>
                <w:szCs w:val="20"/>
              </w:rPr>
              <w:t>oles</w:t>
            </w:r>
          </w:p>
          <w:p w14:paraId="0F9A345D" w14:textId="52F2FF9A" w:rsidR="002C741A" w:rsidRPr="001B7C8A" w:rsidRDefault="002C741A" w:rsidP="0008288A">
            <w:pPr>
              <w:spacing w:after="120"/>
              <w:rPr>
                <w:sz w:val="20"/>
                <w:szCs w:val="20"/>
              </w:rPr>
            </w:pPr>
            <w:r w:rsidRPr="001B7C8A">
              <w:rPr>
                <w:sz w:val="20"/>
                <w:szCs w:val="20"/>
              </w:rPr>
              <w:t>Care of chil</w:t>
            </w:r>
            <w:r w:rsidR="00DD15BA" w:rsidRPr="001B7C8A">
              <w:rPr>
                <w:sz w:val="20"/>
                <w:szCs w:val="20"/>
              </w:rPr>
              <w:t xml:space="preserve">dren while attending workshops </w:t>
            </w:r>
          </w:p>
          <w:p w14:paraId="29D79B0B" w14:textId="1A7DF131" w:rsidR="002C741A" w:rsidRPr="001B7C8A" w:rsidRDefault="002C741A" w:rsidP="0008288A">
            <w:pPr>
              <w:spacing w:after="120"/>
              <w:rPr>
                <w:sz w:val="20"/>
                <w:szCs w:val="20"/>
              </w:rPr>
            </w:pPr>
            <w:r w:rsidRPr="001B7C8A">
              <w:rPr>
                <w:sz w:val="20"/>
                <w:szCs w:val="20"/>
              </w:rPr>
              <w:t>Mental health and trauma recovery</w:t>
            </w:r>
            <w:r w:rsidR="002C3C09">
              <w:rPr>
                <w:sz w:val="20"/>
                <w:szCs w:val="20"/>
              </w:rPr>
              <w:t>.</w:t>
            </w:r>
            <w:r w:rsidRPr="001B7C8A">
              <w:rPr>
                <w:sz w:val="20"/>
                <w:szCs w:val="20"/>
              </w:rPr>
              <w:t xml:space="preserve">  </w:t>
            </w:r>
          </w:p>
        </w:tc>
        <w:tc>
          <w:tcPr>
            <w:tcW w:w="2694" w:type="dxa"/>
          </w:tcPr>
          <w:p w14:paraId="41846A9D" w14:textId="13736C34" w:rsidR="002C741A" w:rsidRPr="001B7C8A" w:rsidRDefault="002C741A" w:rsidP="00062D99">
            <w:pPr>
              <w:spacing w:before="120" w:after="120"/>
              <w:rPr>
                <w:rFonts w:cstheme="minorHAnsi"/>
                <w:sz w:val="20"/>
                <w:szCs w:val="20"/>
              </w:rPr>
            </w:pPr>
            <w:r w:rsidRPr="001B7C8A">
              <w:rPr>
                <w:sz w:val="20"/>
                <w:szCs w:val="20"/>
              </w:rPr>
              <w:t>Lack of knowledge around entitlements and services available,</w:t>
            </w:r>
            <w:r w:rsidRPr="001B7C8A">
              <w:rPr>
                <w:rFonts w:cstheme="minorHAnsi"/>
                <w:b/>
                <w:color w:val="4BACC6" w:themeColor="accent5"/>
                <w:sz w:val="20"/>
                <w:szCs w:val="20"/>
              </w:rPr>
              <w:t xml:space="preserve"> </w:t>
            </w:r>
            <w:r w:rsidRPr="001B7C8A">
              <w:rPr>
                <w:rFonts w:cstheme="minorHAnsi"/>
                <w:sz w:val="20"/>
                <w:szCs w:val="20"/>
              </w:rPr>
              <w:t>or variable se</w:t>
            </w:r>
            <w:r w:rsidR="00DD15BA" w:rsidRPr="001B7C8A">
              <w:rPr>
                <w:rFonts w:cstheme="minorHAnsi"/>
                <w:sz w:val="20"/>
                <w:szCs w:val="20"/>
              </w:rPr>
              <w:t>rvices and/or service-providers</w:t>
            </w:r>
          </w:p>
          <w:p w14:paraId="2873CAD0" w14:textId="0FC4357C" w:rsidR="002C741A" w:rsidRPr="001B7C8A" w:rsidRDefault="002C741A" w:rsidP="0008288A">
            <w:pPr>
              <w:spacing w:after="120"/>
              <w:rPr>
                <w:rFonts w:cstheme="minorHAnsi"/>
                <w:sz w:val="20"/>
                <w:szCs w:val="20"/>
              </w:rPr>
            </w:pPr>
            <w:r w:rsidRPr="001B7C8A">
              <w:rPr>
                <w:rFonts w:cstheme="minorHAnsi"/>
                <w:sz w:val="20"/>
                <w:szCs w:val="20"/>
              </w:rPr>
              <w:t>Meaningf</w:t>
            </w:r>
            <w:r w:rsidR="00DD15BA" w:rsidRPr="001B7C8A">
              <w:rPr>
                <w:rFonts w:cstheme="minorHAnsi"/>
                <w:sz w:val="20"/>
                <w:szCs w:val="20"/>
              </w:rPr>
              <w:t>ul employment and study options</w:t>
            </w:r>
          </w:p>
          <w:p w14:paraId="76FAD690" w14:textId="603A5869" w:rsidR="002C741A" w:rsidRPr="001B7C8A" w:rsidRDefault="002C741A" w:rsidP="0008288A">
            <w:pPr>
              <w:spacing w:after="120"/>
              <w:rPr>
                <w:rFonts w:cstheme="minorHAnsi"/>
                <w:sz w:val="20"/>
                <w:szCs w:val="20"/>
              </w:rPr>
            </w:pPr>
            <w:r w:rsidRPr="001B7C8A">
              <w:rPr>
                <w:rFonts w:cstheme="minorHAnsi"/>
                <w:sz w:val="20"/>
                <w:szCs w:val="20"/>
              </w:rPr>
              <w:t>A key common issue for women was isolation and depression- particularly wh</w:t>
            </w:r>
            <w:r w:rsidR="00DD15BA" w:rsidRPr="001B7C8A">
              <w:rPr>
                <w:rFonts w:cstheme="minorHAnsi"/>
                <w:sz w:val="20"/>
                <w:szCs w:val="20"/>
              </w:rPr>
              <w:t xml:space="preserve">en they had experienced trauma </w:t>
            </w:r>
          </w:p>
          <w:p w14:paraId="100646AE" w14:textId="77777777" w:rsidR="002C741A" w:rsidRPr="001B7C8A" w:rsidRDefault="002C741A" w:rsidP="0008288A">
            <w:pPr>
              <w:spacing w:after="120"/>
              <w:rPr>
                <w:rFonts w:cstheme="minorHAnsi"/>
                <w:sz w:val="20"/>
                <w:szCs w:val="20"/>
              </w:rPr>
            </w:pPr>
            <w:r w:rsidRPr="001B7C8A">
              <w:rPr>
                <w:rFonts w:cstheme="minorHAnsi"/>
                <w:sz w:val="20"/>
                <w:szCs w:val="20"/>
              </w:rPr>
              <w:t xml:space="preserve">Stepping Stones had been key to both knowledge and community. </w:t>
            </w:r>
          </w:p>
          <w:p w14:paraId="5BD23822" w14:textId="77777777" w:rsidR="002C741A" w:rsidRPr="001B7C8A" w:rsidRDefault="002C741A" w:rsidP="0008288A">
            <w:pPr>
              <w:spacing w:after="120"/>
              <w:rPr>
                <w:b/>
                <w:sz w:val="20"/>
                <w:szCs w:val="20"/>
              </w:rPr>
            </w:pPr>
          </w:p>
        </w:tc>
        <w:tc>
          <w:tcPr>
            <w:tcW w:w="3685" w:type="dxa"/>
          </w:tcPr>
          <w:p w14:paraId="2EBCE209" w14:textId="004DD69D" w:rsidR="002C741A" w:rsidRPr="001B7C8A" w:rsidRDefault="002C741A" w:rsidP="00062D99">
            <w:pPr>
              <w:spacing w:before="120" w:after="120"/>
              <w:rPr>
                <w:sz w:val="20"/>
                <w:szCs w:val="20"/>
              </w:rPr>
            </w:pPr>
            <w:r w:rsidRPr="001B7C8A">
              <w:rPr>
                <w:sz w:val="20"/>
                <w:szCs w:val="20"/>
              </w:rPr>
              <w:t>Financia</w:t>
            </w:r>
            <w:r w:rsidR="00DD15BA" w:rsidRPr="001B7C8A">
              <w:rPr>
                <w:sz w:val="20"/>
                <w:szCs w:val="20"/>
              </w:rPr>
              <w:t>l abuse and control of finances</w:t>
            </w:r>
          </w:p>
          <w:p w14:paraId="490AD55C" w14:textId="34D598B7" w:rsidR="002C741A" w:rsidRPr="001B7C8A" w:rsidRDefault="002C741A" w:rsidP="0008288A">
            <w:pPr>
              <w:spacing w:after="120"/>
              <w:rPr>
                <w:sz w:val="20"/>
                <w:szCs w:val="20"/>
              </w:rPr>
            </w:pPr>
            <w:r w:rsidRPr="001B7C8A">
              <w:rPr>
                <w:sz w:val="20"/>
                <w:szCs w:val="20"/>
              </w:rPr>
              <w:t>Trauma involve</w:t>
            </w:r>
            <w:r w:rsidR="00DD15BA" w:rsidRPr="001B7C8A">
              <w:rPr>
                <w:sz w:val="20"/>
                <w:szCs w:val="20"/>
              </w:rPr>
              <w:t>d with fighting to access funds</w:t>
            </w:r>
          </w:p>
          <w:p w14:paraId="2B53B48A" w14:textId="055EC03F" w:rsidR="002C741A" w:rsidRPr="001B7C8A" w:rsidRDefault="002C741A" w:rsidP="0008288A">
            <w:pPr>
              <w:spacing w:after="120"/>
              <w:rPr>
                <w:sz w:val="20"/>
                <w:szCs w:val="20"/>
              </w:rPr>
            </w:pPr>
            <w:r w:rsidRPr="001B7C8A">
              <w:rPr>
                <w:sz w:val="20"/>
                <w:szCs w:val="20"/>
              </w:rPr>
              <w:t>Lack of conf</w:t>
            </w:r>
            <w:r w:rsidR="00DD15BA" w:rsidRPr="001B7C8A">
              <w:rPr>
                <w:sz w:val="20"/>
                <w:szCs w:val="20"/>
              </w:rPr>
              <w:t>idence/capacity to manage funds</w:t>
            </w:r>
          </w:p>
          <w:p w14:paraId="0B93B1D1" w14:textId="1F01D348" w:rsidR="002C741A" w:rsidRPr="001B7C8A" w:rsidRDefault="00DD15BA" w:rsidP="0008288A">
            <w:pPr>
              <w:spacing w:after="120"/>
              <w:rPr>
                <w:sz w:val="20"/>
                <w:szCs w:val="20"/>
              </w:rPr>
            </w:pPr>
            <w:r w:rsidRPr="001B7C8A">
              <w:rPr>
                <w:sz w:val="20"/>
                <w:szCs w:val="20"/>
              </w:rPr>
              <w:t>Limited access to funds</w:t>
            </w:r>
          </w:p>
          <w:p w14:paraId="3197F54F" w14:textId="114F41F8" w:rsidR="002C741A" w:rsidRPr="001B7C8A" w:rsidRDefault="002C741A" w:rsidP="0008288A">
            <w:pPr>
              <w:spacing w:after="120"/>
              <w:rPr>
                <w:sz w:val="20"/>
                <w:szCs w:val="20"/>
              </w:rPr>
            </w:pPr>
            <w:r w:rsidRPr="001B7C8A">
              <w:rPr>
                <w:sz w:val="20"/>
                <w:szCs w:val="20"/>
              </w:rPr>
              <w:t>An interest in financial services which are accessib</w:t>
            </w:r>
            <w:r w:rsidR="00DD15BA" w:rsidRPr="001B7C8A">
              <w:rPr>
                <w:sz w:val="20"/>
                <w:szCs w:val="20"/>
              </w:rPr>
              <w:t xml:space="preserve">le for women with disabilities </w:t>
            </w:r>
          </w:p>
          <w:p w14:paraId="2DAA9D62" w14:textId="77777777" w:rsidR="002C741A" w:rsidRPr="001B7C8A" w:rsidRDefault="002C741A" w:rsidP="0008288A">
            <w:pPr>
              <w:spacing w:after="120"/>
              <w:rPr>
                <w:sz w:val="20"/>
                <w:szCs w:val="20"/>
              </w:rPr>
            </w:pPr>
            <w:r w:rsidRPr="001B7C8A">
              <w:rPr>
                <w:sz w:val="20"/>
                <w:szCs w:val="20"/>
              </w:rPr>
              <w:t>Issues around the NDIS</w:t>
            </w:r>
          </w:p>
          <w:p w14:paraId="7DE58FA2" w14:textId="7C0177BF" w:rsidR="002C741A" w:rsidRPr="001B7C8A" w:rsidRDefault="002C741A" w:rsidP="0008288A">
            <w:pPr>
              <w:spacing w:after="120"/>
              <w:rPr>
                <w:sz w:val="20"/>
                <w:szCs w:val="20"/>
              </w:rPr>
            </w:pPr>
            <w:r w:rsidRPr="001B7C8A">
              <w:rPr>
                <w:sz w:val="20"/>
                <w:szCs w:val="20"/>
              </w:rPr>
              <w:t>Lack of women with disabil</w:t>
            </w:r>
            <w:r w:rsidR="00DD15BA" w:rsidRPr="001B7C8A">
              <w:rPr>
                <w:sz w:val="20"/>
                <w:szCs w:val="20"/>
              </w:rPr>
              <w:t>ity in financial sector / roles</w:t>
            </w:r>
          </w:p>
          <w:p w14:paraId="6AC43CC0" w14:textId="6C9A9FB1" w:rsidR="002C741A" w:rsidRPr="001B7C8A" w:rsidRDefault="002C741A" w:rsidP="0008288A">
            <w:pPr>
              <w:spacing w:after="120"/>
              <w:rPr>
                <w:sz w:val="20"/>
                <w:szCs w:val="20"/>
              </w:rPr>
            </w:pPr>
            <w:r w:rsidRPr="001B7C8A">
              <w:rPr>
                <w:sz w:val="20"/>
                <w:szCs w:val="20"/>
              </w:rPr>
              <w:t>Very low and fixed incomes</w:t>
            </w:r>
            <w:r w:rsidR="002C3C09">
              <w:rPr>
                <w:sz w:val="20"/>
                <w:szCs w:val="20"/>
              </w:rPr>
              <w:t>.</w:t>
            </w:r>
            <w:r w:rsidRPr="001B7C8A">
              <w:rPr>
                <w:sz w:val="20"/>
                <w:szCs w:val="20"/>
              </w:rPr>
              <w:t xml:space="preserve"> </w:t>
            </w:r>
          </w:p>
        </w:tc>
        <w:tc>
          <w:tcPr>
            <w:tcW w:w="2551" w:type="dxa"/>
          </w:tcPr>
          <w:p w14:paraId="211E3BE1" w14:textId="5F5BDB13" w:rsidR="002C741A" w:rsidRPr="001B7C8A" w:rsidRDefault="00DD15BA" w:rsidP="00062D99">
            <w:pPr>
              <w:spacing w:before="120" w:after="120"/>
              <w:rPr>
                <w:sz w:val="20"/>
                <w:szCs w:val="20"/>
              </w:rPr>
            </w:pPr>
            <w:r w:rsidRPr="001B7C8A">
              <w:rPr>
                <w:sz w:val="20"/>
                <w:szCs w:val="20"/>
              </w:rPr>
              <w:t>Distrust of government services</w:t>
            </w:r>
          </w:p>
          <w:p w14:paraId="36D45981" w14:textId="5BC8C8A8" w:rsidR="002C741A" w:rsidRPr="001B7C8A" w:rsidRDefault="002C741A" w:rsidP="0008288A">
            <w:pPr>
              <w:spacing w:after="120"/>
              <w:rPr>
                <w:sz w:val="20"/>
                <w:szCs w:val="20"/>
              </w:rPr>
            </w:pPr>
            <w:r w:rsidRPr="001B7C8A">
              <w:rPr>
                <w:sz w:val="20"/>
                <w:szCs w:val="20"/>
              </w:rPr>
              <w:t>Fami</w:t>
            </w:r>
            <w:r w:rsidR="00DD15BA" w:rsidRPr="001B7C8A">
              <w:rPr>
                <w:sz w:val="20"/>
                <w:szCs w:val="20"/>
              </w:rPr>
              <w:t>ly violence and financial abuse</w:t>
            </w:r>
          </w:p>
          <w:p w14:paraId="77603372" w14:textId="40C6B6D0" w:rsidR="002C741A" w:rsidRPr="001B7C8A" w:rsidRDefault="00DD15BA" w:rsidP="0008288A">
            <w:pPr>
              <w:spacing w:after="120"/>
              <w:rPr>
                <w:sz w:val="20"/>
                <w:szCs w:val="20"/>
              </w:rPr>
            </w:pPr>
            <w:r w:rsidRPr="001B7C8A">
              <w:rPr>
                <w:sz w:val="20"/>
                <w:szCs w:val="20"/>
              </w:rPr>
              <w:t>Gendered roles</w:t>
            </w:r>
          </w:p>
          <w:p w14:paraId="3E16E4C6" w14:textId="419D5918" w:rsidR="002C3C09" w:rsidRDefault="002C3C09" w:rsidP="0008288A">
            <w:pPr>
              <w:spacing w:after="120"/>
              <w:rPr>
                <w:sz w:val="20"/>
                <w:szCs w:val="20"/>
              </w:rPr>
            </w:pPr>
            <w:r>
              <w:rPr>
                <w:sz w:val="20"/>
                <w:szCs w:val="20"/>
              </w:rPr>
              <w:t>Systematic oppression and racism</w:t>
            </w:r>
          </w:p>
          <w:p w14:paraId="40A296D9" w14:textId="1B204FAD" w:rsidR="002C741A" w:rsidRPr="001B7C8A" w:rsidRDefault="002C3C09" w:rsidP="0008288A">
            <w:pPr>
              <w:spacing w:after="120"/>
              <w:rPr>
                <w:b/>
                <w:sz w:val="20"/>
                <w:szCs w:val="20"/>
              </w:rPr>
            </w:pPr>
            <w:r>
              <w:rPr>
                <w:sz w:val="20"/>
                <w:szCs w:val="20"/>
              </w:rPr>
              <w:t>D</w:t>
            </w:r>
            <w:r w:rsidR="002C741A" w:rsidRPr="001B7C8A">
              <w:rPr>
                <w:sz w:val="20"/>
                <w:szCs w:val="20"/>
              </w:rPr>
              <w:t>ifficulty of/ inappropriate available services</w:t>
            </w:r>
            <w:r>
              <w:rPr>
                <w:sz w:val="20"/>
                <w:szCs w:val="20"/>
              </w:rPr>
              <w:t>.</w:t>
            </w:r>
          </w:p>
        </w:tc>
        <w:tc>
          <w:tcPr>
            <w:tcW w:w="2834" w:type="dxa"/>
          </w:tcPr>
          <w:p w14:paraId="67DC1116" w14:textId="5D77555F" w:rsidR="002C741A" w:rsidRPr="001B7C8A" w:rsidRDefault="002C741A" w:rsidP="00062D99">
            <w:pPr>
              <w:spacing w:before="120" w:after="120"/>
              <w:rPr>
                <w:sz w:val="20"/>
                <w:szCs w:val="20"/>
              </w:rPr>
            </w:pPr>
            <w:r w:rsidRPr="001B7C8A">
              <w:rPr>
                <w:sz w:val="20"/>
                <w:szCs w:val="20"/>
              </w:rPr>
              <w:t xml:space="preserve">Limited </w:t>
            </w:r>
            <w:r w:rsidR="00DD15BA" w:rsidRPr="001B7C8A">
              <w:rPr>
                <w:sz w:val="20"/>
                <w:szCs w:val="20"/>
              </w:rPr>
              <w:t>knowledge of services</w:t>
            </w:r>
          </w:p>
          <w:p w14:paraId="0D1196B0" w14:textId="21620C83" w:rsidR="002C741A" w:rsidRPr="001B7C8A" w:rsidRDefault="002C3C09" w:rsidP="0008288A">
            <w:pPr>
              <w:spacing w:after="120"/>
              <w:rPr>
                <w:sz w:val="20"/>
                <w:szCs w:val="20"/>
              </w:rPr>
            </w:pPr>
            <w:r>
              <w:rPr>
                <w:sz w:val="20"/>
                <w:szCs w:val="20"/>
              </w:rPr>
              <w:t>Lack of e</w:t>
            </w:r>
            <w:r w:rsidR="002C741A" w:rsidRPr="001B7C8A">
              <w:rPr>
                <w:sz w:val="20"/>
                <w:szCs w:val="20"/>
              </w:rPr>
              <w:t xml:space="preserve">veryday money </w:t>
            </w:r>
            <w:r w:rsidR="00DD15BA" w:rsidRPr="001B7C8A">
              <w:rPr>
                <w:sz w:val="20"/>
                <w:szCs w:val="20"/>
              </w:rPr>
              <w:t>managing skills: staying afloat</w:t>
            </w:r>
          </w:p>
          <w:p w14:paraId="6C997918" w14:textId="5411F37F" w:rsidR="002C741A" w:rsidRPr="001B7C8A" w:rsidRDefault="002C3C09" w:rsidP="0008288A">
            <w:pPr>
              <w:spacing w:after="120"/>
              <w:rPr>
                <w:sz w:val="20"/>
                <w:szCs w:val="20"/>
              </w:rPr>
            </w:pPr>
            <w:r>
              <w:rPr>
                <w:sz w:val="20"/>
                <w:szCs w:val="20"/>
              </w:rPr>
              <w:t>Housing insecurity</w:t>
            </w:r>
            <w:r w:rsidR="00DD15BA" w:rsidRPr="001B7C8A">
              <w:rPr>
                <w:sz w:val="20"/>
                <w:szCs w:val="20"/>
              </w:rPr>
              <w:t xml:space="preserve"> </w:t>
            </w:r>
          </w:p>
          <w:p w14:paraId="3ECABD6F" w14:textId="3530F08C" w:rsidR="002C741A" w:rsidRPr="001B7C8A" w:rsidRDefault="002C741A" w:rsidP="0008288A">
            <w:pPr>
              <w:spacing w:after="120"/>
              <w:rPr>
                <w:sz w:val="20"/>
                <w:szCs w:val="20"/>
              </w:rPr>
            </w:pPr>
            <w:r w:rsidRPr="001B7C8A">
              <w:rPr>
                <w:sz w:val="20"/>
                <w:szCs w:val="20"/>
              </w:rPr>
              <w:t>Difficulty with</w:t>
            </w:r>
            <w:r w:rsidR="00DD15BA" w:rsidRPr="001B7C8A">
              <w:rPr>
                <w:sz w:val="20"/>
                <w:szCs w:val="20"/>
              </w:rPr>
              <w:t xml:space="preserve"> employment after incarceration</w:t>
            </w:r>
          </w:p>
          <w:p w14:paraId="50730A40" w14:textId="0E9C39B4" w:rsidR="002C741A" w:rsidRPr="001B7C8A" w:rsidRDefault="002C741A" w:rsidP="0008288A">
            <w:pPr>
              <w:spacing w:after="120"/>
              <w:rPr>
                <w:sz w:val="20"/>
                <w:szCs w:val="20"/>
              </w:rPr>
            </w:pPr>
            <w:r w:rsidRPr="001B7C8A">
              <w:rPr>
                <w:sz w:val="20"/>
                <w:szCs w:val="20"/>
              </w:rPr>
              <w:t xml:space="preserve">Lack of documentation – </w:t>
            </w:r>
            <w:r w:rsidR="00C71216" w:rsidRPr="001B7C8A">
              <w:rPr>
                <w:sz w:val="20"/>
                <w:szCs w:val="20"/>
              </w:rPr>
              <w:t>e.g.</w:t>
            </w:r>
            <w:r w:rsidRPr="001B7C8A">
              <w:rPr>
                <w:sz w:val="20"/>
                <w:szCs w:val="20"/>
              </w:rPr>
              <w:t xml:space="preserve">  incarceration </w:t>
            </w:r>
            <w:r w:rsidR="002C3C09">
              <w:rPr>
                <w:sz w:val="20"/>
                <w:szCs w:val="20"/>
              </w:rPr>
              <w:t xml:space="preserve">makes it </w:t>
            </w:r>
            <w:r w:rsidRPr="001B7C8A">
              <w:rPr>
                <w:sz w:val="20"/>
                <w:szCs w:val="20"/>
              </w:rPr>
              <w:t xml:space="preserve"> hard to get </w:t>
            </w:r>
            <w:r w:rsidR="002C3C09">
              <w:rPr>
                <w:sz w:val="20"/>
                <w:szCs w:val="20"/>
              </w:rPr>
              <w:t xml:space="preserve">bank accounts, rental history </w:t>
            </w:r>
            <w:r w:rsidR="00DD15BA" w:rsidRPr="001B7C8A">
              <w:rPr>
                <w:sz w:val="20"/>
                <w:szCs w:val="20"/>
              </w:rPr>
              <w:t>and services</w:t>
            </w:r>
          </w:p>
          <w:p w14:paraId="58A64004" w14:textId="1BA382B2" w:rsidR="002C741A" w:rsidRPr="001B7C8A" w:rsidRDefault="002C741A" w:rsidP="0008288A">
            <w:pPr>
              <w:spacing w:after="120"/>
              <w:rPr>
                <w:sz w:val="20"/>
                <w:szCs w:val="20"/>
              </w:rPr>
            </w:pPr>
            <w:r w:rsidRPr="001B7C8A">
              <w:rPr>
                <w:sz w:val="20"/>
                <w:szCs w:val="20"/>
              </w:rPr>
              <w:t>Dealing with financi</w:t>
            </w:r>
            <w:r w:rsidR="00DD15BA" w:rsidRPr="001B7C8A">
              <w:rPr>
                <w:sz w:val="20"/>
                <w:szCs w:val="20"/>
              </w:rPr>
              <w:t>al abuse</w:t>
            </w:r>
          </w:p>
          <w:p w14:paraId="7CF2C678" w14:textId="604C7D69" w:rsidR="002C741A" w:rsidRPr="001B7C8A" w:rsidRDefault="002C741A" w:rsidP="0008288A">
            <w:pPr>
              <w:spacing w:after="120"/>
              <w:rPr>
                <w:b/>
                <w:sz w:val="20"/>
                <w:szCs w:val="20"/>
                <w:u w:val="single"/>
              </w:rPr>
            </w:pPr>
            <w:r w:rsidRPr="001B7C8A">
              <w:rPr>
                <w:sz w:val="20"/>
                <w:szCs w:val="20"/>
              </w:rPr>
              <w:t>Managing large debts</w:t>
            </w:r>
            <w:r w:rsidR="002C3C09">
              <w:rPr>
                <w:sz w:val="20"/>
                <w:szCs w:val="20"/>
              </w:rPr>
              <w:t>.</w:t>
            </w:r>
            <w:r w:rsidRPr="001B7C8A">
              <w:rPr>
                <w:sz w:val="20"/>
                <w:szCs w:val="20"/>
              </w:rPr>
              <w:t xml:space="preserve"> </w:t>
            </w:r>
          </w:p>
          <w:p w14:paraId="08B4F4D0" w14:textId="77777777" w:rsidR="002C741A" w:rsidRPr="001B7C8A" w:rsidRDefault="002C741A" w:rsidP="0008288A">
            <w:pPr>
              <w:spacing w:after="120"/>
              <w:rPr>
                <w:b/>
                <w:sz w:val="20"/>
                <w:szCs w:val="20"/>
              </w:rPr>
            </w:pPr>
          </w:p>
        </w:tc>
      </w:tr>
    </w:tbl>
    <w:p w14:paraId="63FDFE1F" w14:textId="0F535593" w:rsidR="00271D3A" w:rsidRDefault="00271D3A" w:rsidP="0006304A">
      <w:pPr>
        <w:spacing w:after="0"/>
        <w:sectPr w:rsidR="00271D3A" w:rsidSect="00271D3A">
          <w:pgSz w:w="16840" w:h="11899" w:orient="landscape" w:code="9"/>
          <w:pgMar w:top="1440" w:right="1134" w:bottom="1440" w:left="1440" w:header="851" w:footer="567" w:gutter="0"/>
          <w:cols w:space="708"/>
          <w:titlePg/>
          <w:docGrid w:linePitch="360"/>
        </w:sectPr>
      </w:pPr>
    </w:p>
    <w:p w14:paraId="3D854957" w14:textId="11388AA9" w:rsidR="001D2619" w:rsidRDefault="00C54F45" w:rsidP="001D2619">
      <w:pPr>
        <w:pStyle w:val="Heading2"/>
      </w:pPr>
      <w:bookmarkStart w:id="14" w:name="_Toc33099980"/>
      <w:r>
        <w:lastRenderedPageBreak/>
        <w:t>Conclusion</w:t>
      </w:r>
    </w:p>
    <w:bookmarkEnd w:id="14"/>
    <w:p w14:paraId="303922D5" w14:textId="49258B61" w:rsidR="00F62C1B" w:rsidRPr="00B72FB3" w:rsidRDefault="00F62C1B" w:rsidP="00F62C1B">
      <w:r w:rsidRPr="00B72FB3">
        <w:t>As a result of the research and practice to</w:t>
      </w:r>
      <w:r>
        <w:t xml:space="preserve"> date,</w:t>
      </w:r>
      <w:r w:rsidRPr="00B72FB3">
        <w:t xml:space="preserve"> informed by the international </w:t>
      </w:r>
      <w:r>
        <w:t>and local context outlined in the Literature</w:t>
      </w:r>
      <w:r w:rsidRPr="00B72FB3">
        <w:t xml:space="preserve"> Review, national context outlined in the Mapping of Existing Services and the local, Victorian knowledge held in the roundtable, focus group</w:t>
      </w:r>
      <w:r>
        <w:t>s</w:t>
      </w:r>
      <w:r w:rsidRPr="00B72FB3">
        <w:t xml:space="preserve"> and interviews</w:t>
      </w:r>
      <w:r>
        <w:t>,</w:t>
      </w:r>
      <w:r w:rsidRPr="00B72FB3">
        <w:t xml:space="preserve"> </w:t>
      </w:r>
      <w:r>
        <w:t>a</w:t>
      </w:r>
      <w:r w:rsidRPr="00B72FB3">
        <w:t xml:space="preserve"> project plan has been developed. </w:t>
      </w:r>
    </w:p>
    <w:p w14:paraId="1AFA07EB" w14:textId="5721D596" w:rsidR="00F62C1B" w:rsidRDefault="00F62C1B" w:rsidP="00F62C1B">
      <w:r>
        <w:t>The project is holistic and addresses key barriers to women’s</w:t>
      </w:r>
      <w:r w:rsidR="00E7502C">
        <w:t xml:space="preserve"> financial capability including:</w:t>
      </w:r>
      <w:r>
        <w:t xml:space="preserve"> access to </w:t>
      </w:r>
      <w:r w:rsidR="003A78BC">
        <w:t xml:space="preserve">appropriate </w:t>
      </w:r>
      <w:r>
        <w:t>information, services and programs; culturally appropriate and accessible content</w:t>
      </w:r>
      <w:r w:rsidR="00E7502C">
        <w:t>;</w:t>
      </w:r>
      <w:r w:rsidR="00E7502C" w:rsidRPr="00E7502C">
        <w:t xml:space="preserve"> </w:t>
      </w:r>
      <w:r w:rsidR="00E7502C">
        <w:t>gaps in pathways, referrals and services;</w:t>
      </w:r>
      <w:r>
        <w:t xml:space="preserve"> </w:t>
      </w:r>
      <w:r w:rsidR="003A78BC">
        <w:t>and a need for people with lived experience to deliver financial capability education</w:t>
      </w:r>
      <w:r>
        <w:t xml:space="preserve">. The </w:t>
      </w:r>
      <w:r w:rsidR="006879EF">
        <w:t>WFCP</w:t>
      </w:r>
      <w:r>
        <w:t xml:space="preserve"> is designed to increase user accessibility to appropriate education, services and programs on an individual level, while improving structural barriers by increasing capacity in the sector to address issues faced specifically by First Nations, refugee, migrant and asylum seeker women and women with a disability. </w:t>
      </w:r>
    </w:p>
    <w:p w14:paraId="050E813D" w14:textId="77777777" w:rsidR="00F62C1B" w:rsidRDefault="00F62C1B" w:rsidP="00F62C1B">
      <w:r w:rsidRPr="00B72FB3">
        <w:t xml:space="preserve">The project plan remains adaptable to allow for ongoing feedback throughout the co-design process. </w:t>
      </w:r>
    </w:p>
    <w:p w14:paraId="1880C3D9" w14:textId="0654B73E" w:rsidR="00F62C1B" w:rsidRDefault="00F62C1B" w:rsidP="00F62C1B">
      <w:r>
        <w:t xml:space="preserve">Please contact </w:t>
      </w:r>
      <w:hyperlink r:id="rId18" w:history="1">
        <w:r w:rsidRPr="00E7502C">
          <w:rPr>
            <w:rStyle w:val="Hyperlink"/>
          </w:rPr>
          <w:t>WIRE</w:t>
        </w:r>
      </w:hyperlink>
      <w:r>
        <w:t xml:space="preserve"> for more details about the </w:t>
      </w:r>
      <w:r w:rsidR="006879EF">
        <w:t>WFCP</w:t>
      </w:r>
      <w:r>
        <w:t xml:space="preserve"> plan.  </w:t>
      </w:r>
    </w:p>
    <w:p w14:paraId="1A8C8DF8" w14:textId="105CB4E7" w:rsidR="002C741A" w:rsidRPr="00B72FB3" w:rsidRDefault="002C741A" w:rsidP="002421A3">
      <w:pPr>
        <w:pStyle w:val="Heading1samepage"/>
        <w:spacing w:before="0"/>
      </w:pPr>
    </w:p>
    <w:sectPr w:rsidR="002C741A" w:rsidRPr="00B72FB3" w:rsidSect="00F62C1B">
      <w:pgSz w:w="11899" w:h="16840" w:code="9"/>
      <w:pgMar w:top="1134" w:right="1440" w:bottom="1440" w:left="1440"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40ACA" w14:textId="77777777" w:rsidR="00742534" w:rsidRDefault="00742534" w:rsidP="00770116">
      <w:r>
        <w:separator/>
      </w:r>
    </w:p>
  </w:endnote>
  <w:endnote w:type="continuationSeparator" w:id="0">
    <w:p w14:paraId="19DA7EC3" w14:textId="77777777" w:rsidR="00742534" w:rsidRDefault="00742534" w:rsidP="0077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Quicksand">
    <w:altName w:val="Geneva"/>
    <w:panose1 w:val="00000500000000000000"/>
    <w:charset w:val="00"/>
    <w:family w:val="auto"/>
    <w:pitch w:val="variable"/>
    <w:sig w:usb0="2000000F"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ongress Sans Light Std">
    <w:altName w:val="Geneva"/>
    <w:panose1 w:val="02000503080000020004"/>
    <w:charset w:val="00"/>
    <w:family w:val="modern"/>
    <w:notTrueType/>
    <w:pitch w:val="variable"/>
    <w:sig w:usb0="800000AF" w:usb1="4000204A" w:usb2="00000000" w:usb3="00000000" w:csb0="00000001" w:csb1="00000000"/>
  </w:font>
  <w:font w:name="Congress Sans Std">
    <w:altName w:val="Geneva"/>
    <w:panose1 w:val="00000000000000000000"/>
    <w:charset w:val="00"/>
    <w:family w:val="swiss"/>
    <w:notTrueType/>
    <w:pitch w:val="variable"/>
    <w:sig w:usb0="800000AF" w:usb1="4000204A" w:usb2="00000000" w:usb3="00000000" w:csb0="00000011" w:csb1="00000000"/>
  </w:font>
  <w:font w:name="Sunshine In My Soul">
    <w:panose1 w:val="00000000000000000000"/>
    <w:charset w:val="00"/>
    <w:family w:val="auto"/>
    <w:pitch w:val="variable"/>
    <w:sig w:usb0="80000003" w:usb1="08000000" w:usb2="14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04EF" w14:textId="77777777" w:rsidR="00AC2936" w:rsidRPr="003343A5" w:rsidRDefault="00AC2936" w:rsidP="00770116">
    <w:pPr>
      <w:pStyle w:val="Footer"/>
      <w:rPr>
        <w:sz w:val="16"/>
      </w:rPr>
    </w:pPr>
    <w:r w:rsidRPr="003343A5">
      <w:rPr>
        <w:rStyle w:val="PageNumber"/>
      </w:rPr>
      <w:fldChar w:fldCharType="begin"/>
    </w:r>
    <w:r w:rsidRPr="003343A5">
      <w:rPr>
        <w:rStyle w:val="PageNumber"/>
      </w:rPr>
      <w:instrText xml:space="preserve"> PAGE </w:instrText>
    </w:r>
    <w:r w:rsidRPr="003343A5">
      <w:rPr>
        <w:rStyle w:val="PageNumber"/>
      </w:rPr>
      <w:fldChar w:fldCharType="separate"/>
    </w:r>
    <w:r>
      <w:rPr>
        <w:rStyle w:val="PageNumber"/>
        <w:noProof/>
      </w:rPr>
      <w:t>4</w:t>
    </w:r>
    <w:r w:rsidRPr="003343A5">
      <w:rPr>
        <w:rStyle w:val="PageNumber"/>
      </w:rPr>
      <w:fldChar w:fldCharType="end"/>
    </w:r>
    <w:r>
      <w:tab/>
    </w:r>
    <w:r w:rsidRPr="002B511F">
      <w:t xml:space="preserve">© </w:t>
    </w:r>
    <w:r w:rsidRPr="005C1111">
      <w:rPr>
        <w:rFonts w:ascii="Sunshine In My Soul" w:hAnsi="Sunshine In My Soul"/>
        <w:sz w:val="16"/>
      </w:rPr>
      <w:t>Wire</w:t>
    </w:r>
    <w:r>
      <w:t xml:space="preserve">  </w:t>
    </w:r>
    <w:r w:rsidRPr="005C1111">
      <w:t>Women’s Information and Referral Exchange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92743"/>
      <w:docPartObj>
        <w:docPartGallery w:val="Page Numbers (Bottom of Page)"/>
        <w:docPartUnique/>
      </w:docPartObj>
    </w:sdtPr>
    <w:sdtEndPr/>
    <w:sdtContent>
      <w:sdt>
        <w:sdtPr>
          <w:id w:val="-1161919818"/>
          <w:docPartObj>
            <w:docPartGallery w:val="Page Numbers (Top of Page)"/>
            <w:docPartUnique/>
          </w:docPartObj>
        </w:sdtPr>
        <w:sdtEndPr/>
        <w:sdtContent>
          <w:p w14:paraId="5F3CD222" w14:textId="14A5F256" w:rsidR="00AC2936" w:rsidRDefault="00324986" w:rsidP="00324986">
            <w:pPr>
              <w:pStyle w:val="Footer"/>
              <w:jc w:val="right"/>
            </w:pPr>
            <w:r w:rsidRPr="00E96A48">
              <w:rPr>
                <w:rFonts w:ascii="Quicksand" w:hAnsi="Quicksand"/>
                <w:noProof/>
                <w:lang w:val="en-AU" w:eastAsia="en-AU"/>
              </w:rPr>
              <w:drawing>
                <wp:anchor distT="0" distB="0" distL="114300" distR="114300" simplePos="0" relativeHeight="251664383" behindDoc="0" locked="0" layoutInCell="1" allowOverlap="1" wp14:anchorId="106E9C76" wp14:editId="0954CF8E">
                  <wp:simplePos x="0" y="0"/>
                  <wp:positionH relativeFrom="column">
                    <wp:posOffset>3563703</wp:posOffset>
                  </wp:positionH>
                  <wp:positionV relativeFrom="bottomMargin">
                    <wp:align>top</wp:align>
                  </wp:positionV>
                  <wp:extent cx="982980" cy="4584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E-logo-strap-2018-orange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980" cy="458470"/>
                          </a:xfrm>
                          <a:prstGeom prst="rect">
                            <a:avLst/>
                          </a:prstGeom>
                        </pic:spPr>
                      </pic:pic>
                    </a:graphicData>
                  </a:graphic>
                  <wp14:sizeRelH relativeFrom="page">
                    <wp14:pctWidth>0</wp14:pctWidth>
                  </wp14:sizeRelH>
                  <wp14:sizeRelV relativeFrom="page">
                    <wp14:pctHeight>0</wp14:pctHeight>
                  </wp14:sizeRelV>
                </wp:anchor>
              </w:drawing>
            </w:r>
            <w:r w:rsidR="00AC2936" w:rsidRPr="00E96A48">
              <w:rPr>
                <w:rFonts w:ascii="Quicksand" w:hAnsi="Quicksand"/>
              </w:rPr>
              <w:t xml:space="preserve"> Page </w:t>
            </w:r>
            <w:r w:rsidR="00AC2936" w:rsidRPr="00E96A48">
              <w:rPr>
                <w:rFonts w:ascii="Quicksand" w:hAnsi="Quicksand"/>
                <w:sz w:val="24"/>
                <w:szCs w:val="24"/>
              </w:rPr>
              <w:fldChar w:fldCharType="begin"/>
            </w:r>
            <w:r w:rsidR="00AC2936" w:rsidRPr="00E96A48">
              <w:rPr>
                <w:rFonts w:ascii="Quicksand" w:hAnsi="Quicksand"/>
              </w:rPr>
              <w:instrText xml:space="preserve"> PAGE </w:instrText>
            </w:r>
            <w:r w:rsidR="00AC2936" w:rsidRPr="00E96A48">
              <w:rPr>
                <w:rFonts w:ascii="Quicksand" w:hAnsi="Quicksand"/>
                <w:sz w:val="24"/>
                <w:szCs w:val="24"/>
              </w:rPr>
              <w:fldChar w:fldCharType="separate"/>
            </w:r>
            <w:r w:rsidR="006F7CF8">
              <w:rPr>
                <w:rFonts w:ascii="Quicksand" w:hAnsi="Quicksand"/>
                <w:noProof/>
              </w:rPr>
              <w:t>2</w:t>
            </w:r>
            <w:r w:rsidR="00AC2936" w:rsidRPr="00E96A48">
              <w:rPr>
                <w:rFonts w:ascii="Quicksand" w:hAnsi="Quicksand"/>
                <w:sz w:val="24"/>
                <w:szCs w:val="24"/>
              </w:rPr>
              <w:fldChar w:fldCharType="end"/>
            </w:r>
            <w:r w:rsidR="00AC2936" w:rsidRPr="00E96A48">
              <w:rPr>
                <w:rFonts w:ascii="Quicksand" w:hAnsi="Quicksand"/>
              </w:rPr>
              <w:t xml:space="preserve"> of </w:t>
            </w:r>
            <w:r w:rsidR="00AC2936" w:rsidRPr="00E96A48">
              <w:rPr>
                <w:rFonts w:ascii="Quicksand" w:hAnsi="Quicksand"/>
                <w:noProof/>
              </w:rPr>
              <w:fldChar w:fldCharType="begin"/>
            </w:r>
            <w:r w:rsidR="00AC2936" w:rsidRPr="00E96A48">
              <w:rPr>
                <w:rFonts w:ascii="Quicksand" w:hAnsi="Quicksand"/>
                <w:noProof/>
              </w:rPr>
              <w:instrText xml:space="preserve"> NUMPAGES  </w:instrText>
            </w:r>
            <w:r w:rsidR="00AC2936" w:rsidRPr="00E96A48">
              <w:rPr>
                <w:rFonts w:ascii="Quicksand" w:hAnsi="Quicksand"/>
                <w:noProof/>
              </w:rPr>
              <w:fldChar w:fldCharType="separate"/>
            </w:r>
            <w:r w:rsidR="006F7CF8">
              <w:rPr>
                <w:rFonts w:ascii="Quicksand" w:hAnsi="Quicksand"/>
                <w:noProof/>
              </w:rPr>
              <w:t>20</w:t>
            </w:r>
            <w:r w:rsidR="00AC2936" w:rsidRPr="00E96A48">
              <w:rPr>
                <w:rFonts w:ascii="Quicksand" w:hAnsi="Quicksand"/>
                <w:noProof/>
              </w:rPr>
              <w:fldChar w:fldCharType="end"/>
            </w:r>
            <w:r w:rsidR="00AC2936">
              <w:rPr>
                <w:sz w:val="24"/>
                <w:szCs w:val="24"/>
              </w:rPr>
              <w:ptab w:relativeTo="indent" w:alignment="right" w:leader="none"/>
            </w:r>
            <w:r w:rsidR="00B50F25">
              <w:rPr>
                <w:sz w:val="24"/>
                <w:szCs w:val="24"/>
              </w:rPr>
              <w:softHyphen/>
            </w:r>
            <w:r w:rsidR="00B50F25">
              <w:rPr>
                <w:sz w:val="24"/>
                <w:szCs w:val="24"/>
              </w:rPr>
              <w:softHyphen/>
            </w:r>
            <w:r>
              <w:rPr>
                <w:rFonts w:ascii="Quicksand" w:hAnsi="Quicksand"/>
                <w:noProof/>
                <w:lang w:val="en-AU" w:eastAsia="en-AU"/>
              </w:rPr>
              <w:drawing>
                <wp:inline distT="0" distB="0" distL="0" distR="0" wp14:anchorId="4B6BAA22" wp14:editId="49288287">
                  <wp:extent cx="1056391" cy="2707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OD-SHEPHERD-ANZ-LOGO-HORIZONTAL-CMY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391" cy="270769"/>
                          </a:xfrm>
                          <a:prstGeom prst="rect">
                            <a:avLst/>
                          </a:prstGeom>
                        </pic:spPr>
                      </pic:pic>
                    </a:graphicData>
                  </a:graphic>
                </wp:inline>
              </w:drawing>
            </w:r>
            <w:r>
              <w:rPr>
                <w:sz w:val="24"/>
                <w:szCs w:val="24"/>
              </w:rPr>
              <w:softHyphen/>
            </w:r>
            <w:r>
              <w:rPr>
                <w:sz w:val="24"/>
                <w:szCs w:val="24"/>
              </w:rPr>
              <w:softHyphen/>
            </w:r>
            <w:r>
              <w:rPr>
                <w:sz w:val="24"/>
                <w:szCs w:val="24"/>
              </w:rPr>
              <w:softHyphen/>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8042" w14:textId="5D69305E" w:rsidR="00324986" w:rsidRDefault="00324986" w:rsidP="00324986">
    <w:pPr>
      <w:pStyle w:val="Footer"/>
      <w:ind w:left="2880"/>
      <w:jc w:val="right"/>
    </w:pPr>
    <w:r w:rsidRPr="00E96A48">
      <w:rPr>
        <w:rFonts w:ascii="Quicksand" w:hAnsi="Quicksand"/>
        <w:noProof/>
        <w:lang w:val="en-AU" w:eastAsia="en-AU"/>
      </w:rPr>
      <w:drawing>
        <wp:anchor distT="0" distB="0" distL="114300" distR="114300" simplePos="0" relativeHeight="251663358" behindDoc="1" locked="0" layoutInCell="1" allowOverlap="1" wp14:anchorId="24BB69F3" wp14:editId="4F8FFC50">
          <wp:simplePos x="0" y="0"/>
          <wp:positionH relativeFrom="column">
            <wp:posOffset>3582752</wp:posOffset>
          </wp:positionH>
          <wp:positionV relativeFrom="bottomMargin">
            <wp:posOffset>86140</wp:posOffset>
          </wp:positionV>
          <wp:extent cx="982980" cy="458470"/>
          <wp:effectExtent l="0" t="0" r="0" b="0"/>
          <wp:wrapTight wrapText="bothSides">
            <wp:wrapPolygon edited="0">
              <wp:start x="4186" y="0"/>
              <wp:lineTo x="837" y="7180"/>
              <wp:lineTo x="419" y="15258"/>
              <wp:lineTo x="2512" y="16155"/>
              <wp:lineTo x="2512" y="20643"/>
              <wp:lineTo x="4605" y="20643"/>
              <wp:lineTo x="20930" y="17950"/>
              <wp:lineTo x="20930" y="12565"/>
              <wp:lineTo x="13395" y="4488"/>
              <wp:lineTo x="6698" y="0"/>
              <wp:lineTo x="418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E-logo-strap-2018-orange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980" cy="458470"/>
                  </a:xfrm>
                  <a:prstGeom prst="rect">
                    <a:avLst/>
                  </a:prstGeom>
                </pic:spPr>
              </pic:pic>
            </a:graphicData>
          </a:graphic>
        </wp:anchor>
      </w:drawing>
    </w:r>
  </w:p>
  <w:p w14:paraId="077E41D6" w14:textId="210BD14D" w:rsidR="006879EF" w:rsidRDefault="00324986" w:rsidP="00324986">
    <w:pPr>
      <w:pStyle w:val="Footer"/>
      <w:ind w:left="5040"/>
      <w:jc w:val="right"/>
    </w:pPr>
    <w:r>
      <w:rPr>
        <w:rFonts w:ascii="Quicksand" w:hAnsi="Quicksand"/>
        <w:noProof/>
        <w:lang w:val="en-AU" w:eastAsia="en-AU"/>
      </w:rPr>
      <w:drawing>
        <wp:inline distT="0" distB="0" distL="0" distR="0" wp14:anchorId="1DE2D929" wp14:editId="250DB545">
          <wp:extent cx="1056391" cy="2707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OD-SHEPHERD-ANZ-LOGO-HORIZONTAL-CMY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391" cy="2707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1D191" w14:textId="77777777" w:rsidR="00742534" w:rsidRDefault="00742534" w:rsidP="00770116">
      <w:r>
        <w:separator/>
      </w:r>
    </w:p>
  </w:footnote>
  <w:footnote w:type="continuationSeparator" w:id="0">
    <w:p w14:paraId="45B044CB" w14:textId="77777777" w:rsidR="00742534" w:rsidRDefault="00742534" w:rsidP="00770116">
      <w:r>
        <w:continuationSeparator/>
      </w:r>
    </w:p>
  </w:footnote>
  <w:footnote w:id="1">
    <w:p w14:paraId="0423B5FB" w14:textId="77777777" w:rsidR="00AC2936" w:rsidRPr="001A5869" w:rsidRDefault="00AC2936" w:rsidP="001A5869">
      <w:pPr>
        <w:pStyle w:val="FootnoteText"/>
        <w:rPr>
          <w:sz w:val="14"/>
          <w:szCs w:val="14"/>
        </w:rPr>
      </w:pPr>
      <w:r w:rsidRPr="001A5869">
        <w:rPr>
          <w:rStyle w:val="FootnoteReference"/>
          <w:sz w:val="14"/>
          <w:szCs w:val="14"/>
        </w:rPr>
        <w:footnoteRef/>
      </w:r>
      <w:r w:rsidRPr="001A5869">
        <w:rPr>
          <w:sz w:val="14"/>
          <w:szCs w:val="14"/>
        </w:rPr>
        <w:t xml:space="preserve"> </w:t>
      </w:r>
      <w:proofErr w:type="spellStart"/>
      <w:r w:rsidRPr="001A5869">
        <w:rPr>
          <w:sz w:val="14"/>
          <w:szCs w:val="14"/>
        </w:rPr>
        <w:t>Sherraden</w:t>
      </w:r>
      <w:proofErr w:type="spellEnd"/>
      <w:r w:rsidRPr="001A5869">
        <w:rPr>
          <w:sz w:val="14"/>
          <w:szCs w:val="14"/>
        </w:rPr>
        <w:t xml:space="preserve">, M. (2013). Building blocks of financial capability. In J. Curley, M. S. </w:t>
      </w:r>
      <w:proofErr w:type="spellStart"/>
      <w:r w:rsidRPr="001A5869">
        <w:rPr>
          <w:sz w:val="14"/>
          <w:szCs w:val="14"/>
        </w:rPr>
        <w:t>Sherraden</w:t>
      </w:r>
      <w:proofErr w:type="spellEnd"/>
      <w:r w:rsidRPr="001A5869">
        <w:rPr>
          <w:sz w:val="14"/>
          <w:szCs w:val="14"/>
        </w:rPr>
        <w:t xml:space="preserve">, &amp; J. </w:t>
      </w:r>
      <w:proofErr w:type="spellStart"/>
      <w:r w:rsidRPr="001A5869">
        <w:rPr>
          <w:sz w:val="14"/>
          <w:szCs w:val="14"/>
        </w:rPr>
        <w:t>Birkenmaier</w:t>
      </w:r>
      <w:proofErr w:type="spellEnd"/>
      <w:r w:rsidRPr="001A5869">
        <w:rPr>
          <w:sz w:val="14"/>
          <w:szCs w:val="14"/>
        </w:rPr>
        <w:t xml:space="preserve"> (Eds.), </w:t>
      </w:r>
      <w:r w:rsidRPr="001A5869">
        <w:rPr>
          <w:i/>
          <w:sz w:val="14"/>
          <w:szCs w:val="14"/>
        </w:rPr>
        <w:t>Financial capability and asset development: Research, education, policy, and practice</w:t>
      </w:r>
      <w:r w:rsidRPr="001A5869">
        <w:rPr>
          <w:sz w:val="14"/>
          <w:szCs w:val="14"/>
        </w:rPr>
        <w:t>. New York, NY: Oxford University Press. P.6</w:t>
      </w:r>
    </w:p>
  </w:footnote>
  <w:footnote w:id="2">
    <w:p w14:paraId="69091FD2" w14:textId="77777777" w:rsidR="00AC2936" w:rsidRPr="001A5869" w:rsidRDefault="00AC2936" w:rsidP="001A5869">
      <w:pPr>
        <w:spacing w:after="0"/>
        <w:rPr>
          <w:sz w:val="14"/>
          <w:szCs w:val="14"/>
        </w:rPr>
      </w:pPr>
      <w:r w:rsidRPr="001A5869">
        <w:rPr>
          <w:rStyle w:val="FootnoteReference"/>
          <w:sz w:val="14"/>
          <w:szCs w:val="14"/>
        </w:rPr>
        <w:footnoteRef/>
      </w:r>
      <w:r w:rsidRPr="001A5869">
        <w:rPr>
          <w:sz w:val="14"/>
          <w:szCs w:val="14"/>
        </w:rPr>
        <w:t xml:space="preserve"> </w:t>
      </w:r>
      <w:proofErr w:type="spellStart"/>
      <w:r w:rsidRPr="001A5869">
        <w:rPr>
          <w:sz w:val="14"/>
          <w:szCs w:val="14"/>
        </w:rPr>
        <w:t>Landvogt</w:t>
      </w:r>
      <w:proofErr w:type="spellEnd"/>
      <w:r w:rsidRPr="001A5869">
        <w:rPr>
          <w:sz w:val="14"/>
          <w:szCs w:val="14"/>
        </w:rPr>
        <w:t xml:space="preserve"> K (2008) Money, Dignity and Inclusion: The role of financial capability Research Report, Melbourne: Good Shepherd Youth and Family Service.</w:t>
      </w:r>
    </w:p>
  </w:footnote>
  <w:footnote w:id="3">
    <w:p w14:paraId="61C4E1C3" w14:textId="77777777" w:rsidR="001A5869" w:rsidRPr="001A5869" w:rsidRDefault="001A5869" w:rsidP="001A5869">
      <w:pPr>
        <w:pStyle w:val="EndNoteBibliography"/>
        <w:spacing w:after="0"/>
        <w:ind w:left="720" w:hanging="720"/>
        <w:rPr>
          <w:rFonts w:ascii="Quicksand" w:hAnsi="Quicksand"/>
          <w:sz w:val="14"/>
          <w:szCs w:val="14"/>
        </w:rPr>
      </w:pPr>
      <w:r w:rsidRPr="001A5869">
        <w:rPr>
          <w:rStyle w:val="FootnoteReference"/>
          <w:rFonts w:ascii="Quicksand" w:hAnsi="Quicksand"/>
          <w:sz w:val="14"/>
          <w:szCs w:val="14"/>
        </w:rPr>
        <w:footnoteRef/>
      </w:r>
      <w:r w:rsidRPr="001A5869">
        <w:rPr>
          <w:rFonts w:ascii="Quicksand" w:hAnsi="Quicksand"/>
          <w:sz w:val="14"/>
          <w:szCs w:val="14"/>
        </w:rPr>
        <w:t xml:space="preserve"> Hegarty K, Tarzia L, Fooks A. &amp; Rees S (2017), Women’s Input into a Trauma-informed systems model of care in Health settings (the WITH</w:t>
      </w:r>
    </w:p>
    <w:p w14:paraId="2FB43B6C" w14:textId="5915D54C" w:rsidR="001A5869" w:rsidRPr="001A5869" w:rsidRDefault="001A5869" w:rsidP="001A5869">
      <w:pPr>
        <w:pStyle w:val="FootnoteText"/>
        <w:rPr>
          <w:sz w:val="14"/>
          <w:szCs w:val="14"/>
          <w:lang w:val="en-US"/>
        </w:rPr>
      </w:pPr>
      <w:r w:rsidRPr="001A5869">
        <w:rPr>
          <w:sz w:val="14"/>
          <w:szCs w:val="14"/>
        </w:rPr>
        <w:t>Study): Key findings and future directions. Sydney: ANROWS</w:t>
      </w:r>
    </w:p>
  </w:footnote>
  <w:footnote w:id="4">
    <w:p w14:paraId="1E1699A0" w14:textId="77777777" w:rsidR="00AC2936" w:rsidRPr="001A5869" w:rsidRDefault="00AC2936" w:rsidP="001A5869">
      <w:pPr>
        <w:spacing w:after="0"/>
        <w:rPr>
          <w:sz w:val="14"/>
          <w:szCs w:val="14"/>
        </w:rPr>
      </w:pPr>
      <w:r w:rsidRPr="001A5869">
        <w:rPr>
          <w:rStyle w:val="FootnoteReference"/>
          <w:sz w:val="14"/>
          <w:szCs w:val="14"/>
        </w:rPr>
        <w:footnoteRef/>
      </w:r>
      <w:r w:rsidRPr="001A5869">
        <w:rPr>
          <w:sz w:val="14"/>
          <w:szCs w:val="14"/>
        </w:rPr>
        <w:t xml:space="preserve"> Muir K, Hamilton M, </w:t>
      </w:r>
      <w:proofErr w:type="spellStart"/>
      <w:r w:rsidRPr="001A5869">
        <w:rPr>
          <w:sz w:val="14"/>
          <w:szCs w:val="14"/>
        </w:rPr>
        <w:t>Noone</w:t>
      </w:r>
      <w:proofErr w:type="spellEnd"/>
      <w:r w:rsidRPr="001A5869">
        <w:rPr>
          <w:sz w:val="14"/>
          <w:szCs w:val="14"/>
        </w:rPr>
        <w:t xml:space="preserve"> JH, </w:t>
      </w:r>
      <w:proofErr w:type="spellStart"/>
      <w:r w:rsidRPr="001A5869">
        <w:rPr>
          <w:sz w:val="14"/>
          <w:szCs w:val="14"/>
        </w:rPr>
        <w:t>Marjolin</w:t>
      </w:r>
      <w:proofErr w:type="spellEnd"/>
      <w:r w:rsidRPr="001A5869">
        <w:rPr>
          <w:sz w:val="14"/>
          <w:szCs w:val="14"/>
        </w:rPr>
        <w:t xml:space="preserve"> A </w:t>
      </w:r>
      <w:proofErr w:type="spellStart"/>
      <w:r w:rsidRPr="001A5869">
        <w:rPr>
          <w:sz w:val="14"/>
          <w:szCs w:val="14"/>
        </w:rPr>
        <w:t>Salignac</w:t>
      </w:r>
      <w:proofErr w:type="spellEnd"/>
      <w:r w:rsidRPr="001A5869">
        <w:rPr>
          <w:sz w:val="14"/>
          <w:szCs w:val="14"/>
        </w:rPr>
        <w:t xml:space="preserve"> F &amp; Saunders P (2017) Exploring Financial Well-being in the Australian Context, Centre for Social Impact &amp; Social Policy Research Centre, Sydney: University of New South Wales</w:t>
      </w:r>
    </w:p>
  </w:footnote>
  <w:footnote w:id="5">
    <w:p w14:paraId="64105CE6" w14:textId="163CF96D" w:rsidR="00AC2936" w:rsidRPr="00386B90" w:rsidRDefault="00AC2936" w:rsidP="001A5869">
      <w:pPr>
        <w:spacing w:after="0"/>
        <w:rPr>
          <w:sz w:val="14"/>
          <w:szCs w:val="16"/>
        </w:rPr>
      </w:pPr>
      <w:r w:rsidRPr="001A5869">
        <w:rPr>
          <w:rStyle w:val="FootnoteReference"/>
          <w:sz w:val="14"/>
          <w:szCs w:val="14"/>
        </w:rPr>
        <w:footnoteRef/>
      </w:r>
      <w:r w:rsidRPr="001A5869">
        <w:rPr>
          <w:sz w:val="14"/>
          <w:szCs w:val="14"/>
        </w:rPr>
        <w:t xml:space="preserve"> Corrie T (2016) Economic Security for Survivors of Domestic and Family Violence: Understanding and measuring the impacts, Melbourne: GSANZ</w:t>
      </w:r>
      <w:r w:rsidR="001E5047" w:rsidRPr="001A5869">
        <w:rPr>
          <w:sz w:val="14"/>
          <w:szCs w:val="14"/>
        </w:rPr>
        <w:t>.</w:t>
      </w:r>
      <w:r w:rsidRPr="001A5869">
        <w:rPr>
          <w:sz w:val="14"/>
          <w:szCs w:val="14"/>
        </w:rPr>
        <w:t xml:space="preserve"> Pg.41</w:t>
      </w:r>
    </w:p>
  </w:footnote>
  <w:footnote w:id="6">
    <w:p w14:paraId="3A612907" w14:textId="77777777" w:rsidR="00C06414" w:rsidRPr="0045354C" w:rsidRDefault="004A668E" w:rsidP="0045354C">
      <w:pPr>
        <w:pStyle w:val="EndNoteBibliography"/>
        <w:spacing w:after="0"/>
        <w:rPr>
          <w:rFonts w:ascii="Quicksand" w:hAnsi="Quicksand"/>
          <w:sz w:val="14"/>
          <w:szCs w:val="14"/>
        </w:rPr>
      </w:pPr>
      <w:r w:rsidRPr="0045354C">
        <w:rPr>
          <w:rStyle w:val="FootnoteReference"/>
          <w:rFonts w:ascii="Quicksand" w:hAnsi="Quicksand"/>
          <w:sz w:val="14"/>
          <w:szCs w:val="14"/>
        </w:rPr>
        <w:footnoteRef/>
      </w:r>
      <w:r w:rsidRPr="0045354C">
        <w:rPr>
          <w:rFonts w:ascii="Quicksand" w:hAnsi="Quicksand"/>
          <w:sz w:val="14"/>
          <w:szCs w:val="14"/>
        </w:rPr>
        <w:t xml:space="preserve"> </w:t>
      </w:r>
      <w:r w:rsidR="00C06414" w:rsidRPr="0045354C">
        <w:rPr>
          <w:rFonts w:ascii="Quicksand" w:hAnsi="Quicksand"/>
          <w:sz w:val="14"/>
          <w:szCs w:val="14"/>
        </w:rPr>
        <w:t>Fernando, N. (2018). When’s the right time to talk about money? Financial teachable moments for women affected by</w:t>
      </w:r>
    </w:p>
    <w:p w14:paraId="13078C06" w14:textId="3C6FBF3F" w:rsidR="004A668E" w:rsidRPr="0045354C" w:rsidRDefault="00C06414" w:rsidP="0045354C">
      <w:pPr>
        <w:pStyle w:val="FootnoteText"/>
        <w:rPr>
          <w:sz w:val="14"/>
          <w:szCs w:val="14"/>
          <w:lang w:val="en-US"/>
        </w:rPr>
      </w:pPr>
      <w:r w:rsidRPr="0045354C">
        <w:rPr>
          <w:sz w:val="14"/>
          <w:szCs w:val="14"/>
        </w:rPr>
        <w:t>family violence. www.wire.org.au/assets/Uploads/WhenIsTheRightTimeToTalkAboutMoney.pdf</w:t>
      </w:r>
    </w:p>
  </w:footnote>
  <w:footnote w:id="7">
    <w:p w14:paraId="38F0F802" w14:textId="6E160C2D" w:rsidR="001A5869" w:rsidRPr="0045354C" w:rsidRDefault="001A5869" w:rsidP="0045354C">
      <w:pPr>
        <w:spacing w:after="0"/>
        <w:rPr>
          <w:rFonts w:ascii="Calibri" w:eastAsia="Times New Roman" w:hAnsi="Calibri"/>
          <w:color w:val="000000"/>
          <w:sz w:val="24"/>
          <w:szCs w:val="24"/>
          <w:lang w:val="en-AU"/>
        </w:rPr>
      </w:pPr>
      <w:r w:rsidRPr="0045354C">
        <w:rPr>
          <w:rStyle w:val="FootnoteReference"/>
          <w:sz w:val="14"/>
          <w:szCs w:val="14"/>
        </w:rPr>
        <w:footnoteRef/>
      </w:r>
      <w:r w:rsidR="0045354C" w:rsidRPr="0045354C">
        <w:rPr>
          <w:sz w:val="14"/>
          <w:szCs w:val="14"/>
        </w:rPr>
        <w:t xml:space="preserve"> </w:t>
      </w:r>
      <w:r w:rsidR="0045354C" w:rsidRPr="0045354C">
        <w:rPr>
          <w:rFonts w:eastAsiaTheme="minorHAnsi" w:cs="Arial"/>
          <w:noProof/>
          <w:sz w:val="14"/>
          <w:szCs w:val="14"/>
          <w:lang w:val="en-US"/>
        </w:rPr>
        <w:t>Godinho, V (2014) Cultural identity and financial wellbeing in Indigenous Australia</w:t>
      </w:r>
      <w:r w:rsidR="0045354C" w:rsidRPr="0045354C">
        <w:rPr>
          <w:rFonts w:eastAsia="Times New Roman"/>
          <w:color w:val="000000"/>
          <w:sz w:val="14"/>
          <w:szCs w:val="14"/>
        </w:rPr>
        <w:t xml:space="preserve"> </w:t>
      </w:r>
      <w:r w:rsidR="0045354C" w:rsidRPr="0045354C">
        <w:rPr>
          <w:rFonts w:eastAsiaTheme="minorHAnsi" w:cs="Arial"/>
          <w:noProof/>
          <w:sz w:val="14"/>
          <w:szCs w:val="14"/>
          <w:lang w:val="en-US"/>
        </w:rPr>
        <w:t>cited in</w:t>
      </w:r>
      <w:r w:rsidR="0045354C" w:rsidRPr="0045354C">
        <w:rPr>
          <w:rFonts w:eastAsia="Times New Roman"/>
          <w:color w:val="000000"/>
          <w:sz w:val="14"/>
          <w:szCs w:val="14"/>
        </w:rPr>
        <w:t> </w:t>
      </w:r>
      <w:hyperlink r:id="rId1" w:history="1">
        <w:r w:rsidR="0045354C" w:rsidRPr="0045354C">
          <w:rPr>
            <w:rStyle w:val="Hyperlink"/>
            <w:sz w:val="14"/>
            <w:szCs w:val="14"/>
          </w:rPr>
          <w:t>http://finlit.org.au/wp-content/uploads/sites/15/2018/08/MoneyWoman-AManagingBungooProjectEvaluation2018.pdf</w:t>
        </w:r>
      </w:hyperlink>
      <w:r w:rsidR="0045354C" w:rsidRPr="0045354C">
        <w:rPr>
          <w:sz w:val="14"/>
          <w:szCs w:val="14"/>
        </w:rPr>
        <w:t xml:space="preserve">. </w:t>
      </w:r>
      <w:proofErr w:type="spellStart"/>
      <w:r w:rsidR="0045354C" w:rsidRPr="0045354C">
        <w:rPr>
          <w:sz w:val="14"/>
          <w:szCs w:val="14"/>
        </w:rPr>
        <w:t>Pg</w:t>
      </w:r>
      <w:proofErr w:type="spellEnd"/>
      <w:r w:rsidR="0045354C" w:rsidRPr="0045354C">
        <w:rPr>
          <w:sz w:val="14"/>
          <w:szCs w:val="14"/>
        </w:rPr>
        <w:t xml:space="preserve"> 5</w:t>
      </w:r>
    </w:p>
  </w:footnote>
  <w:footnote w:id="8">
    <w:p w14:paraId="553567F5" w14:textId="49F28A75" w:rsidR="004A668E" w:rsidRPr="0045354C" w:rsidRDefault="004A668E" w:rsidP="0045354C">
      <w:pPr>
        <w:pStyle w:val="FootnoteText"/>
        <w:rPr>
          <w:sz w:val="14"/>
          <w:szCs w:val="14"/>
          <w:lang w:val="en-US"/>
        </w:rPr>
      </w:pPr>
      <w:r w:rsidRPr="0045354C">
        <w:rPr>
          <w:rStyle w:val="FootnoteReference"/>
          <w:sz w:val="14"/>
          <w:szCs w:val="14"/>
        </w:rPr>
        <w:footnoteRef/>
      </w:r>
      <w:r w:rsidRPr="0045354C">
        <w:rPr>
          <w:sz w:val="14"/>
          <w:szCs w:val="14"/>
        </w:rPr>
        <w:t xml:space="preserve"> Moore S (2012) The government’s position on domestic violence is hypocritical, The Guardian, 29 November</w:t>
      </w:r>
      <w:r w:rsidR="00C06414" w:rsidRPr="0045354C">
        <w:rPr>
          <w:sz w:val="14"/>
          <w:szCs w:val="14"/>
        </w:rPr>
        <w:t xml:space="preserve"> 2012, </w:t>
      </w:r>
      <w:hyperlink r:id="rId2" w:history="1">
        <w:r w:rsidR="0045354C" w:rsidRPr="0045354C">
          <w:rPr>
            <w:rStyle w:val="Hyperlink"/>
            <w:sz w:val="14"/>
            <w:szCs w:val="14"/>
          </w:rPr>
          <w:t>www.theguardian.com/commentisfree/2012/nov/28/government-position-domestic-violence-hypocritical</w:t>
        </w:r>
      </w:hyperlink>
    </w:p>
  </w:footnote>
  <w:footnote w:id="9">
    <w:p w14:paraId="32519488" w14:textId="1BCB7265" w:rsidR="0045354C" w:rsidRPr="00287F96" w:rsidRDefault="00287F96" w:rsidP="0045354C">
      <w:pPr>
        <w:pStyle w:val="EndNoteBibliography"/>
        <w:spacing w:after="0"/>
      </w:pPr>
      <w:r w:rsidRPr="0045354C">
        <w:rPr>
          <w:rStyle w:val="FootnoteReference"/>
          <w:rFonts w:ascii="Quicksand" w:hAnsi="Quicksand"/>
          <w:sz w:val="14"/>
          <w:szCs w:val="14"/>
        </w:rPr>
        <w:footnoteRef/>
      </w:r>
      <w:r w:rsidRPr="0045354C">
        <w:rPr>
          <w:rFonts w:ascii="Quicksand" w:hAnsi="Quicksand"/>
          <w:sz w:val="14"/>
          <w:szCs w:val="14"/>
        </w:rPr>
        <w:t xml:space="preserve"> </w:t>
      </w:r>
      <w:r w:rsidR="00C06414" w:rsidRPr="0045354C">
        <w:rPr>
          <w:rFonts w:ascii="Quicksand" w:hAnsi="Quicksand"/>
          <w:sz w:val="14"/>
          <w:szCs w:val="14"/>
        </w:rPr>
        <w:t xml:space="preserve">Fernando, N. (2018). </w:t>
      </w:r>
    </w:p>
    <w:p w14:paraId="1C91DCB8" w14:textId="4BF656CD" w:rsidR="00287F96" w:rsidRPr="00287F96" w:rsidRDefault="00287F96" w:rsidP="0045354C">
      <w:pPr>
        <w:pStyle w:val="FootnoteText"/>
        <w:rPr>
          <w:lang w:val="en-US"/>
        </w:rPr>
      </w:pPr>
    </w:p>
  </w:footnote>
  <w:footnote w:id="10">
    <w:p w14:paraId="5FDC5E1F" w14:textId="77777777" w:rsidR="00AC2936" w:rsidRPr="004A668E" w:rsidRDefault="00AC2936" w:rsidP="00AE710E">
      <w:pPr>
        <w:pStyle w:val="EndNoteBibliography"/>
        <w:spacing w:after="0"/>
        <w:ind w:left="720" w:hanging="720"/>
        <w:rPr>
          <w:rFonts w:ascii="Quicksand" w:hAnsi="Quicksand"/>
          <w:sz w:val="14"/>
          <w:szCs w:val="14"/>
        </w:rPr>
      </w:pPr>
      <w:r w:rsidRPr="004A668E">
        <w:rPr>
          <w:rStyle w:val="FootnoteReference"/>
          <w:rFonts w:ascii="Quicksand" w:hAnsi="Quicksand"/>
          <w:sz w:val="14"/>
          <w:szCs w:val="14"/>
        </w:rPr>
        <w:footnoteRef/>
      </w:r>
      <w:r w:rsidRPr="004A668E">
        <w:rPr>
          <w:rFonts w:ascii="Quicksand" w:hAnsi="Quicksand"/>
          <w:sz w:val="14"/>
          <w:szCs w:val="14"/>
        </w:rPr>
        <w:t xml:space="preserve"> Hegarty K, Tarzia L, Fooks A. &amp; Rees S (2017), Women’s Input into a Trauma-informed systems model of care in Health settings (the WITH</w:t>
      </w:r>
    </w:p>
    <w:p w14:paraId="2413BC08" w14:textId="77777777" w:rsidR="00AC2936" w:rsidRPr="00386B90" w:rsidRDefault="00AC2936" w:rsidP="00AE710E">
      <w:pPr>
        <w:pStyle w:val="EndNoteBibliography"/>
        <w:spacing w:after="0"/>
        <w:ind w:left="720" w:hanging="720"/>
        <w:rPr>
          <w:sz w:val="14"/>
          <w:szCs w:val="16"/>
        </w:rPr>
      </w:pPr>
      <w:r w:rsidRPr="004A668E">
        <w:rPr>
          <w:rFonts w:ascii="Quicksand" w:hAnsi="Quicksand"/>
          <w:sz w:val="14"/>
          <w:szCs w:val="14"/>
        </w:rPr>
        <w:t>Study): Key findings and future directions. Sydney: ANROWS</w:t>
      </w:r>
      <w:r w:rsidRPr="00386B90">
        <w:rPr>
          <w:sz w:val="14"/>
          <w:szCs w:val="16"/>
        </w:rPr>
        <w:t xml:space="preserve"> </w:t>
      </w:r>
    </w:p>
  </w:footnote>
  <w:footnote w:id="11">
    <w:p w14:paraId="2421408C" w14:textId="77777777" w:rsidR="00AC2936" w:rsidRPr="00446CFF" w:rsidRDefault="00AC2936" w:rsidP="00AE710E">
      <w:pPr>
        <w:pStyle w:val="FootnoteText"/>
        <w:rPr>
          <w:sz w:val="14"/>
          <w:szCs w:val="14"/>
        </w:rPr>
      </w:pPr>
      <w:r w:rsidRPr="00446CFF">
        <w:rPr>
          <w:rStyle w:val="FootnoteReference"/>
          <w:sz w:val="14"/>
          <w:szCs w:val="14"/>
        </w:rPr>
        <w:footnoteRef/>
      </w:r>
      <w:r>
        <w:rPr>
          <w:sz w:val="14"/>
          <w:szCs w:val="14"/>
        </w:rPr>
        <w:t xml:space="preserve"> Fernando, N (2018) </w:t>
      </w:r>
    </w:p>
  </w:footnote>
  <w:footnote w:id="12">
    <w:p w14:paraId="4D04CCCF" w14:textId="77777777" w:rsidR="00AC2936" w:rsidRPr="00DF790E" w:rsidRDefault="00AC2936" w:rsidP="00446CFF">
      <w:pPr>
        <w:pStyle w:val="FootnoteText"/>
        <w:rPr>
          <w:sz w:val="16"/>
          <w:szCs w:val="16"/>
        </w:rPr>
      </w:pPr>
      <w:r w:rsidRPr="00386B90">
        <w:rPr>
          <w:rStyle w:val="FootnoteReference"/>
          <w:sz w:val="14"/>
          <w:szCs w:val="16"/>
        </w:rPr>
        <w:footnoteRef/>
      </w:r>
      <w:r w:rsidRPr="00386B90">
        <w:rPr>
          <w:sz w:val="14"/>
          <w:szCs w:val="16"/>
        </w:rPr>
        <w:t xml:space="preserve"> Ibid.</w:t>
      </w:r>
      <w:r w:rsidRPr="00DF790E">
        <w:rPr>
          <w:sz w:val="16"/>
          <w:szCs w:val="16"/>
        </w:rPr>
        <w:t xml:space="preserve"> </w:t>
      </w:r>
    </w:p>
  </w:footnote>
  <w:footnote w:id="13">
    <w:p w14:paraId="6F711A2A" w14:textId="77777777" w:rsidR="00AC2936" w:rsidRPr="007A5D4E" w:rsidRDefault="00AC2936" w:rsidP="00F62C1B">
      <w:pPr>
        <w:pStyle w:val="FootnoteText"/>
        <w:rPr>
          <w:sz w:val="14"/>
          <w:szCs w:val="14"/>
        </w:rPr>
      </w:pPr>
      <w:r w:rsidRPr="007A5D4E">
        <w:rPr>
          <w:rStyle w:val="FootnoteReference"/>
          <w:sz w:val="14"/>
          <w:szCs w:val="14"/>
        </w:rPr>
        <w:footnoteRef/>
      </w:r>
      <w:r w:rsidRPr="007A5D4E">
        <w:rPr>
          <w:sz w:val="14"/>
          <w:szCs w:val="14"/>
        </w:rPr>
        <w:t xml:space="preserve"> Workplace Gender Equality Agency- Australia’s Gender Pay Gap Statistics: www.wgea.gov.au/data/fact-sheets/australias-gender-pay-gap-statistics  </w:t>
      </w:r>
    </w:p>
  </w:footnote>
  <w:footnote w:id="14">
    <w:p w14:paraId="2FEC9B89" w14:textId="7C7CE97E" w:rsidR="00AC2936" w:rsidRPr="007A5D4E" w:rsidRDefault="00AC2936" w:rsidP="007A5D4E">
      <w:pPr>
        <w:pStyle w:val="EndNoteBibliography"/>
        <w:spacing w:after="0"/>
        <w:ind w:left="720" w:hanging="720"/>
        <w:rPr>
          <w:sz w:val="14"/>
          <w:szCs w:val="14"/>
        </w:rPr>
      </w:pPr>
      <w:r w:rsidRPr="007A5D4E">
        <w:rPr>
          <w:rStyle w:val="FootnoteReference"/>
          <w:rFonts w:ascii="Quicksand" w:hAnsi="Quicksand"/>
          <w:sz w:val="14"/>
          <w:szCs w:val="14"/>
        </w:rPr>
        <w:footnoteRef/>
      </w:r>
      <w:r w:rsidRPr="007A5D4E">
        <w:rPr>
          <w:rStyle w:val="FootnoteReference"/>
          <w:rFonts w:ascii="Quicksand" w:hAnsi="Quicksand"/>
          <w:sz w:val="14"/>
          <w:szCs w:val="14"/>
        </w:rPr>
        <w:t xml:space="preserve"> </w:t>
      </w:r>
      <w:r w:rsidR="007A5D4E">
        <w:rPr>
          <w:rFonts w:ascii="Quicksand" w:hAnsi="Quicksand"/>
          <w:sz w:val="14"/>
          <w:szCs w:val="14"/>
        </w:rPr>
        <w:t>Fernando, N. (2018)</w:t>
      </w:r>
    </w:p>
  </w:footnote>
  <w:footnote w:id="15">
    <w:p w14:paraId="4FAA4490" w14:textId="2A590A14" w:rsidR="00AC2936" w:rsidRPr="007A5D4E" w:rsidRDefault="00AC2936" w:rsidP="007A5D4E">
      <w:pPr>
        <w:pStyle w:val="EndNoteBibliography"/>
        <w:spacing w:after="0"/>
        <w:ind w:left="720" w:hanging="720"/>
        <w:rPr>
          <w:sz w:val="14"/>
          <w:szCs w:val="14"/>
        </w:rPr>
      </w:pPr>
      <w:r w:rsidRPr="007A5D4E">
        <w:rPr>
          <w:rStyle w:val="FootnoteReference"/>
          <w:rFonts w:ascii="Quicksand" w:hAnsi="Quicksand"/>
          <w:sz w:val="14"/>
          <w:szCs w:val="14"/>
        </w:rPr>
        <w:footnoteRef/>
      </w:r>
      <w:r w:rsidRPr="007A5D4E">
        <w:rPr>
          <w:rFonts w:ascii="Quicksand" w:hAnsi="Quicksand"/>
          <w:sz w:val="14"/>
          <w:szCs w:val="14"/>
        </w:rPr>
        <w:t xml:space="preserve"> </w:t>
      </w:r>
      <w:r w:rsidR="007A5D4E">
        <w:rPr>
          <w:rFonts w:ascii="Quicksand" w:hAnsi="Quicksand"/>
          <w:sz w:val="14"/>
          <w:szCs w:val="14"/>
        </w:rPr>
        <w:t xml:space="preserve">Ibid. </w:t>
      </w:r>
    </w:p>
  </w:footnote>
  <w:footnote w:id="16">
    <w:p w14:paraId="201C54A0" w14:textId="52A10F75" w:rsidR="007A5D4E" w:rsidRPr="007A5D4E" w:rsidRDefault="007A5D4E">
      <w:pPr>
        <w:pStyle w:val="FootnoteText"/>
        <w:rPr>
          <w:lang w:val="en-US"/>
        </w:rPr>
      </w:pPr>
      <w:r w:rsidRPr="007A5D4E">
        <w:rPr>
          <w:rStyle w:val="FootnoteReference"/>
          <w:sz w:val="14"/>
          <w:szCs w:val="14"/>
        </w:rPr>
        <w:footnoteRef/>
      </w:r>
      <w:r w:rsidRPr="007A5D4E">
        <w:rPr>
          <w:sz w:val="14"/>
          <w:szCs w:val="14"/>
        </w:rPr>
        <w:t xml:space="preserve"> </w:t>
      </w:r>
      <w:r w:rsidRPr="007A5D4E">
        <w:rPr>
          <w:sz w:val="14"/>
          <w:szCs w:val="14"/>
          <w:lang w:val="en-US"/>
        </w:rPr>
        <w:t xml:space="preserve">First Nations Foundation, </w:t>
      </w:r>
      <w:r>
        <w:rPr>
          <w:sz w:val="14"/>
          <w:szCs w:val="14"/>
          <w:lang w:val="en-US"/>
        </w:rPr>
        <w:t xml:space="preserve">2019. </w:t>
      </w:r>
      <w:r w:rsidRPr="007A5D4E">
        <w:rPr>
          <w:sz w:val="14"/>
          <w:szCs w:val="14"/>
          <w:lang w:val="en-US"/>
        </w:rPr>
        <w:t>Money Stories:</w:t>
      </w:r>
      <w:r>
        <w:rPr>
          <w:sz w:val="14"/>
          <w:szCs w:val="14"/>
          <w:lang w:val="en-US"/>
        </w:rPr>
        <w:t xml:space="preserve"> Fina</w:t>
      </w:r>
      <w:r w:rsidR="00E02E9D">
        <w:rPr>
          <w:sz w:val="14"/>
          <w:szCs w:val="14"/>
          <w:lang w:val="en-US"/>
        </w:rPr>
        <w:t xml:space="preserve">ncial </w:t>
      </w:r>
      <w:proofErr w:type="spellStart"/>
      <w:r w:rsidR="00E02E9D">
        <w:rPr>
          <w:sz w:val="14"/>
          <w:szCs w:val="14"/>
          <w:lang w:val="en-US"/>
        </w:rPr>
        <w:t>Reslience</w:t>
      </w:r>
      <w:proofErr w:type="spellEnd"/>
      <w:r w:rsidR="00E02E9D">
        <w:rPr>
          <w:sz w:val="14"/>
          <w:szCs w:val="14"/>
          <w:lang w:val="en-US"/>
        </w:rPr>
        <w:t xml:space="preserve"> among Aboriginal</w:t>
      </w:r>
      <w:r>
        <w:rPr>
          <w:sz w:val="14"/>
          <w:szCs w:val="14"/>
          <w:lang w:val="en-US"/>
        </w:rPr>
        <w:t xml:space="preserve"> and Torres Strait Islander Australians</w:t>
      </w:r>
      <w:r w:rsidRPr="007A5D4E">
        <w:rPr>
          <w:sz w:val="14"/>
          <w:szCs w:val="14"/>
          <w:lang w:val="en-US"/>
        </w:rPr>
        <w:t xml:space="preserve"> </w:t>
      </w:r>
      <w:hyperlink r:id="rId3" w:history="1">
        <w:r w:rsidRPr="007A5D4E">
          <w:rPr>
            <w:rStyle w:val="Hyperlink"/>
            <w:sz w:val="14"/>
            <w:szCs w:val="14"/>
          </w:rPr>
          <w:t>https://firstnationsfoundation.org.au/wp-content/uploads/2020/01/full_report_2019.pdf</w:t>
        </w:r>
      </w:hyperlink>
    </w:p>
  </w:footnote>
  <w:footnote w:id="17">
    <w:p w14:paraId="54593E0C" w14:textId="33637E9D" w:rsidR="00AC2936" w:rsidRPr="00285330" w:rsidRDefault="00AC2936" w:rsidP="00285330">
      <w:pPr>
        <w:spacing w:after="0"/>
        <w:rPr>
          <w:sz w:val="14"/>
          <w:szCs w:val="14"/>
        </w:rPr>
      </w:pPr>
      <w:r w:rsidRPr="00285330">
        <w:rPr>
          <w:rStyle w:val="FootnoteReference"/>
          <w:sz w:val="14"/>
          <w:szCs w:val="14"/>
        </w:rPr>
        <w:footnoteRef/>
      </w:r>
      <w:r w:rsidRPr="00285330">
        <w:rPr>
          <w:sz w:val="14"/>
          <w:szCs w:val="14"/>
        </w:rPr>
        <w:t xml:space="preserve"> </w:t>
      </w:r>
      <w:r w:rsidRPr="00046F18">
        <w:rPr>
          <w:sz w:val="14"/>
          <w:szCs w:val="14"/>
        </w:rPr>
        <w:t xml:space="preserve">AIHW. (2018). </w:t>
      </w:r>
      <w:r w:rsidRPr="00046F18">
        <w:rPr>
          <w:i/>
          <w:sz w:val="14"/>
          <w:szCs w:val="14"/>
        </w:rPr>
        <w:t>Family, domestic and sexual violence in Australia. Cat. no. FDV 2. Canberra: AIHW.</w:t>
      </w:r>
      <w:r>
        <w:rPr>
          <w:sz w:val="14"/>
          <w:szCs w:val="14"/>
        </w:rPr>
        <w:t xml:space="preserve"> </w:t>
      </w:r>
      <w:hyperlink r:id="rId4" w:history="1">
        <w:r w:rsidRPr="003B6523">
          <w:rPr>
            <w:rStyle w:val="Hyperlink"/>
            <w:sz w:val="14"/>
            <w:szCs w:val="14"/>
          </w:rPr>
          <w:t>www.aihw.gov.au/getmedia/d1a8d479-a39a-48c1-bbe2-4b27c7a321e0/aihw-fdv-02.pdf.aspx?inline=true</w:t>
        </w:r>
      </w:hyperlink>
    </w:p>
  </w:footnote>
  <w:footnote w:id="18">
    <w:p w14:paraId="146E515B" w14:textId="0F168008" w:rsidR="00AC2936" w:rsidRPr="00285330" w:rsidRDefault="00AC2936" w:rsidP="00285330">
      <w:pPr>
        <w:spacing w:after="0"/>
        <w:rPr>
          <w:sz w:val="14"/>
          <w:szCs w:val="14"/>
        </w:rPr>
      </w:pPr>
      <w:r w:rsidRPr="00285330">
        <w:rPr>
          <w:rStyle w:val="FootnoteReference"/>
          <w:sz w:val="14"/>
          <w:szCs w:val="16"/>
        </w:rPr>
        <w:footnoteRef/>
      </w:r>
      <w:r w:rsidRPr="00285330">
        <w:rPr>
          <w:rStyle w:val="FootnoteReference"/>
          <w:sz w:val="14"/>
          <w:szCs w:val="16"/>
        </w:rPr>
        <w:t xml:space="preserve"> </w:t>
      </w:r>
      <w:proofErr w:type="spellStart"/>
      <w:r w:rsidRPr="00046F18">
        <w:rPr>
          <w:sz w:val="14"/>
          <w:szCs w:val="14"/>
        </w:rPr>
        <w:t>Weier</w:t>
      </w:r>
      <w:proofErr w:type="spellEnd"/>
      <w:r w:rsidRPr="00046F18">
        <w:rPr>
          <w:sz w:val="14"/>
          <w:szCs w:val="14"/>
        </w:rPr>
        <w:t>, M., Dolan, K., Powell, A., Muir, K., &amp; Young, A. (2019).</w:t>
      </w:r>
      <w:r w:rsidRPr="00046F18">
        <w:rPr>
          <w:i/>
          <w:sz w:val="14"/>
          <w:szCs w:val="14"/>
        </w:rPr>
        <w:t xml:space="preserve"> Money stories: Financial resilience among Aboriginal and Torres Strait Islander Australians </w:t>
      </w:r>
      <w:r w:rsidRPr="00046F18">
        <w:rPr>
          <w:sz w:val="14"/>
          <w:szCs w:val="14"/>
        </w:rPr>
        <w:t xml:space="preserve">2019.  </w:t>
      </w:r>
      <w:hyperlink r:id="rId5" w:history="1">
        <w:r w:rsidRPr="00046F18">
          <w:rPr>
            <w:rStyle w:val="Hyperlink"/>
            <w:sz w:val="14"/>
            <w:szCs w:val="14"/>
          </w:rPr>
          <w:t>www.csi.edu.au/media/NAB_IFR_FINAL_May_2019_web.pdf</w:t>
        </w:r>
      </w:hyperlink>
    </w:p>
  </w:footnote>
  <w:footnote w:id="19">
    <w:p w14:paraId="732011CB" w14:textId="73F43E29" w:rsidR="00AC2936" w:rsidRPr="000D6553" w:rsidRDefault="00AC2936" w:rsidP="00285330">
      <w:pPr>
        <w:pStyle w:val="EndNoteBibliography"/>
        <w:spacing w:after="0"/>
        <w:rPr>
          <w:rFonts w:ascii="Quicksand" w:hAnsi="Quicksand"/>
          <w:sz w:val="14"/>
          <w:szCs w:val="16"/>
          <w:vertAlign w:val="superscript"/>
        </w:rPr>
      </w:pPr>
      <w:r w:rsidRPr="000D6553">
        <w:rPr>
          <w:rStyle w:val="FootnoteReference"/>
          <w:rFonts w:ascii="Quicksand" w:hAnsi="Quicksand"/>
          <w:sz w:val="14"/>
          <w:szCs w:val="16"/>
        </w:rPr>
        <w:footnoteRef/>
      </w:r>
      <w:r w:rsidRPr="000D6553">
        <w:rPr>
          <w:rStyle w:val="FootnoteReference"/>
          <w:rFonts w:ascii="Quicksand" w:hAnsi="Quicksand"/>
          <w:sz w:val="14"/>
          <w:szCs w:val="16"/>
        </w:rPr>
        <w:t xml:space="preserve"> </w:t>
      </w:r>
      <w:r w:rsidRPr="00BC567F">
        <w:rPr>
          <w:rFonts w:ascii="Quicksand" w:hAnsi="Quicksand"/>
          <w:sz w:val="14"/>
          <w:szCs w:val="16"/>
        </w:rPr>
        <w:t xml:space="preserve">Moodie, N., Roost, F. D., &amp; Dommers, E. (2014). My Moola: Report from the evaluations of an Indigenous financial literacy program. </w:t>
      </w:r>
      <w:hyperlink r:id="rId6" w:history="1">
        <w:r w:rsidRPr="00285330">
          <w:rPr>
            <w:rStyle w:val="Hyperlink"/>
            <w:rFonts w:ascii="Quicksand" w:hAnsi="Quicksand"/>
            <w:sz w:val="14"/>
            <w:szCs w:val="16"/>
          </w:rPr>
          <w:t>https://minerva-access.unimelb.edu.au/handle/11343/129803</w:t>
        </w:r>
        <w:r w:rsidRPr="00285330">
          <w:rPr>
            <w:rStyle w:val="Hyperlink"/>
            <w:sz w:val="23"/>
            <w:szCs w:val="23"/>
          </w:rPr>
          <w:t xml:space="preserve"> </w:t>
        </w:r>
      </w:hyperlink>
      <w:r w:rsidRPr="000D6553">
        <w:rPr>
          <w:rStyle w:val="FootnoteReference"/>
          <w:rFonts w:ascii="Quicksand" w:hAnsi="Quicksand"/>
          <w:sz w:val="14"/>
          <w:szCs w:val="16"/>
        </w:rPr>
        <w:t xml:space="preserve"> </w:t>
      </w:r>
    </w:p>
  </w:footnote>
  <w:footnote w:id="20">
    <w:p w14:paraId="1CBF5CBB" w14:textId="003349F9" w:rsidR="00AC2936" w:rsidRPr="00C41032" w:rsidRDefault="00AC2936" w:rsidP="00285330">
      <w:pPr>
        <w:pStyle w:val="EndNoteBibliography"/>
        <w:spacing w:after="0"/>
        <w:jc w:val="both"/>
        <w:rPr>
          <w:rStyle w:val="Hyperlink"/>
          <w:rFonts w:ascii="Quicksand" w:hAnsi="Quicksand"/>
          <w:i/>
          <w:color w:val="auto"/>
          <w:sz w:val="14"/>
          <w:szCs w:val="16"/>
          <w:u w:val="none"/>
        </w:rPr>
      </w:pPr>
      <w:r w:rsidRPr="00C41032">
        <w:rPr>
          <w:rStyle w:val="FootnoteReference"/>
          <w:rFonts w:ascii="Quicksand" w:hAnsi="Quicksand"/>
          <w:sz w:val="14"/>
          <w:szCs w:val="16"/>
        </w:rPr>
        <w:footnoteRef/>
      </w:r>
      <w:r w:rsidRPr="00C41032">
        <w:rPr>
          <w:rFonts w:ascii="Quicksand" w:hAnsi="Quicksand"/>
          <w:sz w:val="14"/>
          <w:szCs w:val="16"/>
        </w:rPr>
        <w:t xml:space="preserve"> Russell, R., Kutin, J., Stewart, M., &amp; Rankin, G. (2017). </w:t>
      </w:r>
      <w:r w:rsidRPr="00C41032">
        <w:rPr>
          <w:rFonts w:ascii="Quicksand" w:hAnsi="Quicksand"/>
          <w:i/>
          <w:sz w:val="14"/>
          <w:szCs w:val="16"/>
        </w:rPr>
        <w:t>MoneyMinded impact report 2017. With a focus on financial wellbeing in a disability services context</w:t>
      </w:r>
      <w:r w:rsidRPr="00C41032">
        <w:rPr>
          <w:rFonts w:ascii="Quicksand" w:hAnsi="Quicksand"/>
          <w:sz w:val="14"/>
          <w:szCs w:val="16"/>
        </w:rPr>
        <w:t xml:space="preserve">. Retrieved from: </w:t>
      </w:r>
      <w:r w:rsidRPr="00C41032">
        <w:rPr>
          <w:rStyle w:val="Hyperlink"/>
          <w:rFonts w:ascii="Quicksand" w:hAnsi="Quicksand"/>
          <w:sz w:val="14"/>
          <w:szCs w:val="16"/>
        </w:rPr>
        <w:fldChar w:fldCharType="begin"/>
      </w:r>
      <w:r w:rsidRPr="00C41032">
        <w:rPr>
          <w:rStyle w:val="Hyperlink"/>
          <w:rFonts w:ascii="Quicksand" w:hAnsi="Quicksand"/>
          <w:sz w:val="14"/>
          <w:szCs w:val="16"/>
        </w:rPr>
        <w:instrText xml:space="preserve"> HYPERLINK "http://www.anz.com/resources/9/a/9a2a9f36-9f08-403e-b6b3</w:instrText>
      </w:r>
    </w:p>
    <w:p w14:paraId="745540E8" w14:textId="77777777" w:rsidR="00AC2936" w:rsidRPr="00C41032" w:rsidRDefault="00AC2936" w:rsidP="00285330">
      <w:pPr>
        <w:pStyle w:val="EndNoteBibliography"/>
        <w:spacing w:after="0"/>
        <w:jc w:val="both"/>
        <w:rPr>
          <w:rStyle w:val="Hyperlink"/>
          <w:rFonts w:ascii="Quicksand" w:hAnsi="Quicksand"/>
          <w:sz w:val="14"/>
          <w:szCs w:val="16"/>
        </w:rPr>
      </w:pPr>
      <w:r w:rsidRPr="00C41032">
        <w:rPr>
          <w:rStyle w:val="Hyperlink"/>
          <w:rFonts w:ascii="Quicksand" w:hAnsi="Quicksand"/>
          <w:sz w:val="14"/>
          <w:szCs w:val="16"/>
        </w:rPr>
        <w:instrText xml:space="preserve">c918d23b5a23/mm-impact-2017.pdf?MOD=AJPERES" </w:instrText>
      </w:r>
      <w:r w:rsidRPr="00C41032">
        <w:rPr>
          <w:rStyle w:val="Hyperlink"/>
          <w:rFonts w:ascii="Quicksand" w:hAnsi="Quicksand"/>
          <w:sz w:val="14"/>
          <w:szCs w:val="16"/>
        </w:rPr>
        <w:fldChar w:fldCharType="separate"/>
      </w:r>
      <w:r w:rsidRPr="00C41032">
        <w:rPr>
          <w:rStyle w:val="Hyperlink"/>
          <w:rFonts w:ascii="Quicksand" w:hAnsi="Quicksand"/>
          <w:sz w:val="14"/>
          <w:szCs w:val="16"/>
        </w:rPr>
        <w:t>www.anz.com/resources/9/a/9a2a9f36-9f08-403e-b6b3</w:t>
      </w:r>
    </w:p>
    <w:p w14:paraId="561A79DF" w14:textId="73E69EE4" w:rsidR="00AC2936" w:rsidRPr="00C41032" w:rsidRDefault="00AC2936" w:rsidP="00285330">
      <w:pPr>
        <w:pStyle w:val="EndNoteBibliography"/>
        <w:spacing w:after="0"/>
        <w:jc w:val="both"/>
        <w:rPr>
          <w:rFonts w:ascii="Quicksand" w:hAnsi="Quicksand"/>
          <w:sz w:val="14"/>
          <w:szCs w:val="16"/>
          <w:u w:val="single"/>
        </w:rPr>
      </w:pPr>
      <w:r w:rsidRPr="00C41032">
        <w:rPr>
          <w:rStyle w:val="Hyperlink"/>
          <w:rFonts w:ascii="Quicksand" w:hAnsi="Quicksand"/>
          <w:sz w:val="14"/>
          <w:szCs w:val="16"/>
        </w:rPr>
        <w:t>c918d23b5a23/mm-impact-2017.pdf?MOD=AJPERES</w:t>
      </w:r>
      <w:r w:rsidRPr="00C41032">
        <w:rPr>
          <w:rStyle w:val="Hyperlink"/>
          <w:rFonts w:ascii="Quicksand" w:hAnsi="Quicksand"/>
          <w:sz w:val="14"/>
          <w:szCs w:val="16"/>
        </w:rPr>
        <w:fldChar w:fldCharType="end"/>
      </w:r>
    </w:p>
  </w:footnote>
  <w:footnote w:id="21">
    <w:p w14:paraId="57081985" w14:textId="7C8EAB74" w:rsidR="00AC2936" w:rsidRPr="00C41032" w:rsidRDefault="00AC2936" w:rsidP="001A5BD0">
      <w:pPr>
        <w:pStyle w:val="EndNoteBibliography"/>
        <w:spacing w:after="0"/>
        <w:rPr>
          <w:rFonts w:ascii="Quicksand" w:hAnsi="Quicksand"/>
          <w:color w:val="000000" w:themeColor="text1"/>
          <w:sz w:val="14"/>
          <w:szCs w:val="16"/>
        </w:rPr>
      </w:pPr>
      <w:r w:rsidRPr="00C41032">
        <w:rPr>
          <w:rStyle w:val="FootnoteReference"/>
          <w:rFonts w:ascii="Quicksand" w:hAnsi="Quicksand"/>
          <w:color w:val="000000" w:themeColor="text1"/>
          <w:sz w:val="14"/>
          <w:szCs w:val="16"/>
        </w:rPr>
        <w:footnoteRef/>
      </w:r>
      <w:r w:rsidRPr="00C41032">
        <w:rPr>
          <w:rFonts w:ascii="Quicksand" w:hAnsi="Quicksand"/>
          <w:color w:val="000000" w:themeColor="text1"/>
          <w:sz w:val="14"/>
          <w:szCs w:val="16"/>
        </w:rPr>
        <w:t xml:space="preserve"> Kutin, J., Russell, R., &amp; Reid, M. (2017). Economic abuse between intimate partners in Australia: Prevalence, health status, disability and financial stress. </w:t>
      </w:r>
      <w:r w:rsidRPr="00C41032">
        <w:rPr>
          <w:rFonts w:ascii="Quicksand" w:hAnsi="Quicksand"/>
          <w:i/>
          <w:color w:val="000000" w:themeColor="text1"/>
          <w:sz w:val="14"/>
          <w:szCs w:val="16"/>
        </w:rPr>
        <w:t>Australian and New Zealand Journal of Public Health, 41</w:t>
      </w:r>
      <w:r w:rsidRPr="00C41032">
        <w:rPr>
          <w:rFonts w:ascii="Quicksand" w:hAnsi="Quicksand"/>
          <w:color w:val="000000" w:themeColor="text1"/>
          <w:sz w:val="14"/>
          <w:szCs w:val="16"/>
        </w:rPr>
        <w:t xml:space="preserve">(3), 269-274. </w:t>
      </w:r>
    </w:p>
  </w:footnote>
  <w:footnote w:id="22">
    <w:p w14:paraId="47EF3E3C" w14:textId="369A5ACF" w:rsidR="00AC2936" w:rsidRPr="00C41032" w:rsidRDefault="00AC2936" w:rsidP="001A5BD0">
      <w:pPr>
        <w:pStyle w:val="FootnoteText"/>
        <w:rPr>
          <w:color w:val="000000" w:themeColor="text1"/>
          <w:sz w:val="14"/>
          <w:szCs w:val="16"/>
        </w:rPr>
      </w:pPr>
      <w:r w:rsidRPr="00C41032">
        <w:rPr>
          <w:rStyle w:val="FootnoteReference"/>
          <w:color w:val="000000" w:themeColor="text1"/>
          <w:sz w:val="14"/>
          <w:szCs w:val="16"/>
        </w:rPr>
        <w:footnoteRef/>
      </w:r>
      <w:r w:rsidRPr="00C41032">
        <w:rPr>
          <w:color w:val="000000" w:themeColor="text1"/>
          <w:sz w:val="14"/>
          <w:szCs w:val="16"/>
        </w:rPr>
        <w:t xml:space="preserve"> Russell, R., Kutin, J., Stewart, M., &amp; Rankin, G. (2017). </w:t>
      </w:r>
      <w:proofErr w:type="spellStart"/>
      <w:r w:rsidRPr="00C41032">
        <w:rPr>
          <w:i/>
          <w:color w:val="000000" w:themeColor="text1"/>
          <w:sz w:val="14"/>
          <w:szCs w:val="16"/>
        </w:rPr>
        <w:t>MoneyMinded</w:t>
      </w:r>
      <w:proofErr w:type="spellEnd"/>
      <w:r w:rsidRPr="00C41032">
        <w:rPr>
          <w:i/>
          <w:color w:val="000000" w:themeColor="text1"/>
          <w:sz w:val="14"/>
          <w:szCs w:val="16"/>
        </w:rPr>
        <w:t xml:space="preserve"> impact report 2017. With a focus on financial wellbeing in a disability services context</w:t>
      </w:r>
      <w:r w:rsidRPr="00C41032">
        <w:rPr>
          <w:color w:val="000000" w:themeColor="text1"/>
          <w:sz w:val="14"/>
          <w:szCs w:val="16"/>
        </w:rPr>
        <w:t>.</w:t>
      </w:r>
    </w:p>
  </w:footnote>
  <w:footnote w:id="23">
    <w:p w14:paraId="34849F2B" w14:textId="77777777" w:rsidR="00AC2936" w:rsidRPr="00C41032" w:rsidRDefault="00AC2936" w:rsidP="00C41032">
      <w:pPr>
        <w:pStyle w:val="EndNoteBibliography"/>
        <w:spacing w:after="0"/>
        <w:ind w:left="720" w:hanging="720"/>
        <w:rPr>
          <w:rFonts w:ascii="Quicksand" w:hAnsi="Quicksand"/>
          <w:sz w:val="14"/>
          <w:szCs w:val="16"/>
          <w:lang w:val="en-AU"/>
        </w:rPr>
      </w:pPr>
      <w:r w:rsidRPr="00C41032">
        <w:rPr>
          <w:rStyle w:val="FootnoteReference"/>
          <w:rFonts w:ascii="Quicksand" w:hAnsi="Quicksand"/>
          <w:color w:val="000000" w:themeColor="text1"/>
          <w:sz w:val="14"/>
          <w:szCs w:val="16"/>
        </w:rPr>
        <w:footnoteRef/>
      </w:r>
      <w:r w:rsidRPr="00C41032">
        <w:rPr>
          <w:rFonts w:ascii="Quicksand" w:hAnsi="Quicksand"/>
          <w:color w:val="000000" w:themeColor="text1"/>
          <w:sz w:val="14"/>
          <w:szCs w:val="16"/>
        </w:rPr>
        <w:t xml:space="preserve"> </w:t>
      </w:r>
      <w:r w:rsidRPr="00C41032">
        <w:rPr>
          <w:rFonts w:ascii="Quicksand" w:hAnsi="Quicksand"/>
          <w:sz w:val="14"/>
          <w:szCs w:val="16"/>
          <w:lang w:val="en-AU"/>
        </w:rPr>
        <w:t>Bourova, E., Ramsay, I., &amp; Ali, P. (2019). ‘It’s easy to say “don’t sign anything”’: Debt problems among recent migrants</w:t>
      </w:r>
    </w:p>
    <w:p w14:paraId="58CE9CD2" w14:textId="5EDB095D" w:rsidR="00AC2936" w:rsidRPr="00C41032" w:rsidRDefault="00AC2936" w:rsidP="00C41032">
      <w:pPr>
        <w:pStyle w:val="EndNoteBibliography"/>
        <w:spacing w:after="0"/>
        <w:ind w:left="720" w:hanging="720"/>
        <w:rPr>
          <w:rFonts w:ascii="Quicksand" w:hAnsi="Quicksand"/>
          <w:sz w:val="16"/>
          <w:szCs w:val="16"/>
          <w:lang w:val="en-AU"/>
        </w:rPr>
      </w:pPr>
      <w:r w:rsidRPr="00C41032">
        <w:rPr>
          <w:rFonts w:ascii="Quicksand" w:hAnsi="Quicksand"/>
          <w:sz w:val="14"/>
          <w:szCs w:val="16"/>
          <w:lang w:val="en-AU"/>
        </w:rPr>
        <w:t xml:space="preserve">from a non-English-speaking background. </w:t>
      </w:r>
      <w:r w:rsidRPr="00C41032">
        <w:rPr>
          <w:rFonts w:ascii="Quicksand" w:hAnsi="Quicksand"/>
          <w:i/>
          <w:sz w:val="14"/>
          <w:szCs w:val="16"/>
          <w:lang w:val="en-AU"/>
        </w:rPr>
        <w:t>Alternative Law Journal</w:t>
      </w:r>
      <w:r w:rsidRPr="00C41032">
        <w:rPr>
          <w:rFonts w:ascii="Quicksand" w:hAnsi="Quicksand"/>
          <w:sz w:val="14"/>
          <w:szCs w:val="16"/>
          <w:lang w:val="en-AU"/>
        </w:rPr>
        <w:t>, 44(2), 127-132.</w:t>
      </w:r>
      <w:r w:rsidRPr="00D76523">
        <w:rPr>
          <w:rFonts w:ascii="Quicksand" w:hAnsi="Quicksand"/>
          <w:sz w:val="16"/>
          <w:szCs w:val="16"/>
          <w:lang w:val="en-AU"/>
        </w:rPr>
        <w:t xml:space="preserve"> </w:t>
      </w:r>
    </w:p>
  </w:footnote>
  <w:footnote w:id="24">
    <w:p w14:paraId="20ACB33A" w14:textId="09759DD4" w:rsidR="00AC2936" w:rsidRPr="00C41032" w:rsidRDefault="00AC2936" w:rsidP="001A5BD0">
      <w:pPr>
        <w:pStyle w:val="EndNoteBibliography"/>
        <w:spacing w:after="0"/>
        <w:rPr>
          <w:rFonts w:ascii="Quicksand" w:hAnsi="Quicksand"/>
          <w:sz w:val="14"/>
          <w:szCs w:val="16"/>
          <w:lang w:val="en-AU"/>
        </w:rPr>
      </w:pPr>
      <w:r w:rsidRPr="00C41032">
        <w:rPr>
          <w:rStyle w:val="FootnoteReference"/>
          <w:rFonts w:ascii="Quicksand" w:hAnsi="Quicksand"/>
          <w:sz w:val="14"/>
        </w:rPr>
        <w:footnoteRef/>
      </w:r>
      <w:r w:rsidRPr="00C41032">
        <w:rPr>
          <w:rFonts w:ascii="Quicksand" w:hAnsi="Quicksand"/>
          <w:sz w:val="14"/>
        </w:rPr>
        <w:t xml:space="preserve"> </w:t>
      </w:r>
      <w:r w:rsidRPr="00C41032">
        <w:rPr>
          <w:rFonts w:ascii="Quicksand" w:hAnsi="Quicksand"/>
          <w:sz w:val="14"/>
          <w:szCs w:val="16"/>
          <w:lang w:val="en-AU"/>
        </w:rPr>
        <w:t xml:space="preserve">Bourova, E., Ramsay, I., &amp; Ali, P. (2019). ‘It’s easy to say “don’t sign anything”’: Debt problems among recent migrants from a non-English-speaking background. </w:t>
      </w:r>
      <w:r w:rsidRPr="00C41032">
        <w:rPr>
          <w:rFonts w:ascii="Quicksand" w:hAnsi="Quicksand"/>
          <w:i/>
          <w:sz w:val="14"/>
          <w:szCs w:val="16"/>
          <w:lang w:val="en-AU"/>
        </w:rPr>
        <w:t>Alternative Law Journal</w:t>
      </w:r>
      <w:r w:rsidRPr="00C41032">
        <w:rPr>
          <w:rFonts w:ascii="Quicksand" w:hAnsi="Quicksand"/>
          <w:sz w:val="14"/>
          <w:szCs w:val="16"/>
          <w:lang w:val="en-AU"/>
        </w:rPr>
        <w:t xml:space="preserve">, 44(2), 127-132. </w:t>
      </w:r>
    </w:p>
  </w:footnote>
  <w:footnote w:id="25">
    <w:p w14:paraId="4B52B8D2" w14:textId="77777777" w:rsidR="00AC2936" w:rsidRPr="00C41032" w:rsidRDefault="00AC2936" w:rsidP="00F62C1B">
      <w:pPr>
        <w:pStyle w:val="EndNoteBibliography"/>
        <w:spacing w:after="0"/>
        <w:rPr>
          <w:rFonts w:ascii="Quicksand" w:hAnsi="Quicksand"/>
          <w:sz w:val="14"/>
          <w:szCs w:val="16"/>
        </w:rPr>
      </w:pPr>
      <w:r w:rsidRPr="00C41032">
        <w:rPr>
          <w:rStyle w:val="FootnoteReference"/>
          <w:rFonts w:ascii="Quicksand" w:hAnsi="Quicksand"/>
          <w:sz w:val="14"/>
        </w:rPr>
        <w:footnoteRef/>
      </w:r>
      <w:r w:rsidRPr="00C41032">
        <w:rPr>
          <w:rFonts w:ascii="Quicksand" w:hAnsi="Quicksand"/>
          <w:sz w:val="14"/>
        </w:rPr>
        <w:t xml:space="preserve"> </w:t>
      </w:r>
      <w:r w:rsidRPr="00C41032">
        <w:rPr>
          <w:rFonts w:ascii="Quicksand" w:hAnsi="Quicksand"/>
          <w:sz w:val="14"/>
          <w:szCs w:val="16"/>
        </w:rPr>
        <w:t xml:space="preserve">Delgadillo, L. M. (2014). Financial clarity: Education, literacy, capability, counseling, planning, and coaching. </w:t>
      </w:r>
      <w:r w:rsidRPr="00C41032">
        <w:rPr>
          <w:rFonts w:ascii="Quicksand" w:hAnsi="Quicksand"/>
          <w:i/>
          <w:sz w:val="14"/>
          <w:szCs w:val="16"/>
        </w:rPr>
        <w:t>Family and Consumer Sciences Research Journal, 43</w:t>
      </w:r>
      <w:r w:rsidRPr="00C41032">
        <w:rPr>
          <w:rFonts w:ascii="Quicksand" w:hAnsi="Quicksand"/>
          <w:sz w:val="14"/>
          <w:szCs w:val="16"/>
        </w:rPr>
        <w:t xml:space="preserve">(1), 18-28. </w:t>
      </w:r>
    </w:p>
    <w:p w14:paraId="3F891B25" w14:textId="77777777" w:rsidR="00AC2936" w:rsidRDefault="00AC2936" w:rsidP="00F62C1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F373" w14:textId="77777777" w:rsidR="00AC2936" w:rsidRDefault="00AC2936" w:rsidP="00770116">
    <w:pPr>
      <w:pStyle w:val="Header"/>
    </w:pPr>
    <w:r>
      <w:t xml:space="preserve">TITLE </w:t>
    </w:r>
    <w:sdt>
      <w:sdtPr>
        <w:id w:val="497074416"/>
        <w:docPartObj>
          <w:docPartGallery w:val="Page Numbers (Top of Page)"/>
          <w:docPartUnique/>
        </w:docPartObj>
      </w:sdtPr>
      <w:sdtEndPr/>
      <w:sdtContent>
        <w:r>
          <w:tab/>
        </w:r>
        <w:r>
          <w:rPr>
            <w:sz w:val="16"/>
          </w:rPr>
          <w:t>Date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9613" w14:textId="5691758F" w:rsidR="00483F96" w:rsidRDefault="00324986">
    <w:pPr>
      <w:pStyle w:val="Header"/>
    </w:pP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75FD" w14:textId="0B52E6B3" w:rsidR="00AC2936" w:rsidRPr="00770116" w:rsidRDefault="00AC2936" w:rsidP="00770116">
    <w:pPr>
      <w:pStyle w:val="Header"/>
      <w:rPr>
        <w:rFonts w:ascii="Quicksand" w:hAnsi="Quicksand"/>
        <w:color w:val="E36C0A" w:themeColor="accent6" w:themeShade="BF"/>
      </w:rPr>
    </w:pPr>
    <w:r w:rsidRPr="00770116">
      <w:rPr>
        <w:rFonts w:ascii="Quicksand" w:hAnsi="Quicksand"/>
        <w:color w:val="E36C0A" w:themeColor="accent6" w:themeShade="B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EB7"/>
    <w:multiLevelType w:val="hybridMultilevel"/>
    <w:tmpl w:val="7DEC6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156DA"/>
    <w:multiLevelType w:val="hybridMultilevel"/>
    <w:tmpl w:val="77DE13DE"/>
    <w:lvl w:ilvl="0" w:tplc="0C090001">
      <w:start w:val="1"/>
      <w:numFmt w:val="bullet"/>
      <w:lvlText w:val=""/>
      <w:lvlJc w:val="left"/>
      <w:pPr>
        <w:ind w:left="1174" w:hanging="360"/>
      </w:pPr>
      <w:rPr>
        <w:rFonts w:ascii="Symbol" w:hAnsi="Symbol" w:hint="default"/>
        <w:color w:val="E36C0A" w:themeColor="accent6" w:themeShade="BF"/>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 w15:restartNumberingAfterBreak="0">
    <w:nsid w:val="08BE19C5"/>
    <w:multiLevelType w:val="hybridMultilevel"/>
    <w:tmpl w:val="ADCE5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70676"/>
    <w:multiLevelType w:val="singleLevel"/>
    <w:tmpl w:val="1E9A5C64"/>
    <w:lvl w:ilvl="0">
      <w:numFmt w:val="bullet"/>
      <w:lvlText w:val=""/>
      <w:lvlJc w:val="left"/>
      <w:pPr>
        <w:tabs>
          <w:tab w:val="num" w:pos="720"/>
        </w:tabs>
        <w:ind w:left="720" w:hanging="720"/>
      </w:pPr>
      <w:rPr>
        <w:rFonts w:ascii="Wingdings" w:hAnsi="Wingdings" w:hint="default"/>
      </w:rPr>
    </w:lvl>
  </w:abstractNum>
  <w:abstractNum w:abstractNumId="4" w15:restartNumberingAfterBreak="0">
    <w:nsid w:val="0DFA6723"/>
    <w:multiLevelType w:val="hybridMultilevel"/>
    <w:tmpl w:val="152A6DE2"/>
    <w:lvl w:ilvl="0" w:tplc="04090003">
      <w:start w:val="1"/>
      <w:numFmt w:val="bullet"/>
      <w:lvlText w:val="o"/>
      <w:lvlJc w:val="left"/>
      <w:pPr>
        <w:tabs>
          <w:tab w:val="num" w:pos="1080"/>
        </w:tabs>
        <w:ind w:left="1080" w:hanging="360"/>
      </w:pPr>
      <w:rPr>
        <w:rFonts w:ascii="Courier New" w:hAnsi="Courier New" w:cs="Courier New" w:hint="default"/>
      </w:rPr>
    </w:lvl>
    <w:lvl w:ilvl="1" w:tplc="ADDC41BA">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F0739EA"/>
    <w:multiLevelType w:val="hybridMultilevel"/>
    <w:tmpl w:val="00F4C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FD3C47"/>
    <w:multiLevelType w:val="hybridMultilevel"/>
    <w:tmpl w:val="F44CADB4"/>
    <w:lvl w:ilvl="0" w:tplc="E104137C">
      <w:start w:val="1"/>
      <w:numFmt w:val="bullet"/>
      <w:pStyle w:val="WExercisegoals"/>
      <w:lvlText w:val=""/>
      <w:lvlJc w:val="left"/>
      <w:pPr>
        <w:ind w:left="360" w:hanging="360"/>
      </w:pPr>
      <w:rPr>
        <w:rFonts w:ascii="Wingdings" w:hAnsi="Wingdings" w:hint="default"/>
        <w:color w:val="E36C0A" w:themeColor="accent6" w:themeShade="BF"/>
      </w:rPr>
    </w:lvl>
    <w:lvl w:ilvl="1" w:tplc="04090003" w:tentative="1">
      <w:start w:val="1"/>
      <w:numFmt w:val="lowerLetter"/>
      <w:lvlText w:val="%2."/>
      <w:lvlJc w:val="left"/>
      <w:pPr>
        <w:ind w:left="1516" w:hanging="360"/>
      </w:pPr>
    </w:lvl>
    <w:lvl w:ilvl="2" w:tplc="04090005" w:tentative="1">
      <w:start w:val="1"/>
      <w:numFmt w:val="lowerRoman"/>
      <w:lvlText w:val="%3."/>
      <w:lvlJc w:val="right"/>
      <w:pPr>
        <w:ind w:left="2236" w:hanging="180"/>
      </w:pPr>
    </w:lvl>
    <w:lvl w:ilvl="3" w:tplc="04090001" w:tentative="1">
      <w:start w:val="1"/>
      <w:numFmt w:val="decimal"/>
      <w:lvlText w:val="%4."/>
      <w:lvlJc w:val="left"/>
      <w:pPr>
        <w:ind w:left="2956" w:hanging="360"/>
      </w:pPr>
    </w:lvl>
    <w:lvl w:ilvl="4" w:tplc="04090003" w:tentative="1">
      <w:start w:val="1"/>
      <w:numFmt w:val="lowerLetter"/>
      <w:lvlText w:val="%5."/>
      <w:lvlJc w:val="left"/>
      <w:pPr>
        <w:ind w:left="3676" w:hanging="360"/>
      </w:pPr>
    </w:lvl>
    <w:lvl w:ilvl="5" w:tplc="04090005" w:tentative="1">
      <w:start w:val="1"/>
      <w:numFmt w:val="lowerRoman"/>
      <w:lvlText w:val="%6."/>
      <w:lvlJc w:val="right"/>
      <w:pPr>
        <w:ind w:left="4396" w:hanging="180"/>
      </w:pPr>
    </w:lvl>
    <w:lvl w:ilvl="6" w:tplc="04090001" w:tentative="1">
      <w:start w:val="1"/>
      <w:numFmt w:val="decimal"/>
      <w:lvlText w:val="%7."/>
      <w:lvlJc w:val="left"/>
      <w:pPr>
        <w:ind w:left="5116" w:hanging="360"/>
      </w:pPr>
    </w:lvl>
    <w:lvl w:ilvl="7" w:tplc="04090003" w:tentative="1">
      <w:start w:val="1"/>
      <w:numFmt w:val="lowerLetter"/>
      <w:lvlText w:val="%8."/>
      <w:lvlJc w:val="left"/>
      <w:pPr>
        <w:ind w:left="5836" w:hanging="360"/>
      </w:pPr>
    </w:lvl>
    <w:lvl w:ilvl="8" w:tplc="04090005" w:tentative="1">
      <w:start w:val="1"/>
      <w:numFmt w:val="lowerRoman"/>
      <w:lvlText w:val="%9."/>
      <w:lvlJc w:val="right"/>
      <w:pPr>
        <w:ind w:left="6556" w:hanging="180"/>
      </w:pPr>
    </w:lvl>
  </w:abstractNum>
  <w:abstractNum w:abstractNumId="7" w15:restartNumberingAfterBreak="0">
    <w:nsid w:val="13DD3B24"/>
    <w:multiLevelType w:val="hybridMultilevel"/>
    <w:tmpl w:val="CF324930"/>
    <w:lvl w:ilvl="0" w:tplc="ADDC41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DE67DA"/>
    <w:multiLevelType w:val="hybridMultilevel"/>
    <w:tmpl w:val="B33E08DA"/>
    <w:lvl w:ilvl="0" w:tplc="ADDC41BA">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36804C6"/>
    <w:multiLevelType w:val="hybridMultilevel"/>
    <w:tmpl w:val="C024C818"/>
    <w:lvl w:ilvl="0" w:tplc="3438B8E2">
      <w:start w:val="1"/>
      <w:numFmt w:val="bullet"/>
      <w:pStyle w:val="Wbullet2"/>
      <w:lvlText w:val=""/>
      <w:lvlJc w:val="left"/>
      <w:pPr>
        <w:ind w:left="1174" w:hanging="360"/>
      </w:pPr>
      <w:rPr>
        <w:rFonts w:ascii="Wingdings" w:hAnsi="Wingdings" w:hint="default"/>
        <w:color w:val="E36C0A" w:themeColor="accent6" w:themeShade="BF"/>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0" w15:restartNumberingAfterBreak="0">
    <w:nsid w:val="26E430A7"/>
    <w:multiLevelType w:val="hybridMultilevel"/>
    <w:tmpl w:val="B67C6298"/>
    <w:lvl w:ilvl="0" w:tplc="EFB48AD8">
      <w:start w:val="1"/>
      <w:numFmt w:val="bullet"/>
      <w:pStyle w:val="Wbullet"/>
      <w:lvlText w:val=""/>
      <w:lvlJc w:val="left"/>
      <w:pPr>
        <w:ind w:left="436" w:hanging="436"/>
      </w:pPr>
      <w:rPr>
        <w:rFonts w:ascii="Wingdings" w:hAnsi="Wingdings" w:hint="default"/>
      </w:rPr>
    </w:lvl>
    <w:lvl w:ilvl="1" w:tplc="04090019">
      <w:start w:val="1"/>
      <w:numFmt w:val="bullet"/>
      <w:lvlText w:val="o"/>
      <w:lvlJc w:val="left"/>
      <w:pPr>
        <w:ind w:left="1156" w:hanging="360"/>
      </w:pPr>
      <w:rPr>
        <w:rFonts w:ascii="Courier New" w:hAnsi="Courier New" w:hint="default"/>
      </w:rPr>
    </w:lvl>
    <w:lvl w:ilvl="2" w:tplc="0409001B" w:tentative="1">
      <w:start w:val="1"/>
      <w:numFmt w:val="bullet"/>
      <w:lvlText w:val=""/>
      <w:lvlJc w:val="left"/>
      <w:pPr>
        <w:ind w:left="1876" w:hanging="360"/>
      </w:pPr>
      <w:rPr>
        <w:rFonts w:ascii="Wingdings" w:hAnsi="Wingdings" w:hint="default"/>
      </w:rPr>
    </w:lvl>
    <w:lvl w:ilvl="3" w:tplc="0409000F" w:tentative="1">
      <w:start w:val="1"/>
      <w:numFmt w:val="bullet"/>
      <w:lvlText w:val=""/>
      <w:lvlJc w:val="left"/>
      <w:pPr>
        <w:ind w:left="2596" w:hanging="360"/>
      </w:pPr>
      <w:rPr>
        <w:rFonts w:ascii="Symbol" w:hAnsi="Symbol" w:hint="default"/>
      </w:rPr>
    </w:lvl>
    <w:lvl w:ilvl="4" w:tplc="04090019" w:tentative="1">
      <w:start w:val="1"/>
      <w:numFmt w:val="bullet"/>
      <w:lvlText w:val="o"/>
      <w:lvlJc w:val="left"/>
      <w:pPr>
        <w:ind w:left="3316" w:hanging="360"/>
      </w:pPr>
      <w:rPr>
        <w:rFonts w:ascii="Courier New" w:hAnsi="Courier New" w:hint="default"/>
      </w:rPr>
    </w:lvl>
    <w:lvl w:ilvl="5" w:tplc="0409001B" w:tentative="1">
      <w:start w:val="1"/>
      <w:numFmt w:val="bullet"/>
      <w:lvlText w:val=""/>
      <w:lvlJc w:val="left"/>
      <w:pPr>
        <w:ind w:left="4036" w:hanging="360"/>
      </w:pPr>
      <w:rPr>
        <w:rFonts w:ascii="Wingdings" w:hAnsi="Wingdings" w:hint="default"/>
      </w:rPr>
    </w:lvl>
    <w:lvl w:ilvl="6" w:tplc="0409000F" w:tentative="1">
      <w:start w:val="1"/>
      <w:numFmt w:val="bullet"/>
      <w:lvlText w:val=""/>
      <w:lvlJc w:val="left"/>
      <w:pPr>
        <w:ind w:left="4756" w:hanging="360"/>
      </w:pPr>
      <w:rPr>
        <w:rFonts w:ascii="Symbol" w:hAnsi="Symbol" w:hint="default"/>
      </w:rPr>
    </w:lvl>
    <w:lvl w:ilvl="7" w:tplc="04090019" w:tentative="1">
      <w:start w:val="1"/>
      <w:numFmt w:val="bullet"/>
      <w:lvlText w:val="o"/>
      <w:lvlJc w:val="left"/>
      <w:pPr>
        <w:ind w:left="5476" w:hanging="360"/>
      </w:pPr>
      <w:rPr>
        <w:rFonts w:ascii="Courier New" w:hAnsi="Courier New" w:hint="default"/>
      </w:rPr>
    </w:lvl>
    <w:lvl w:ilvl="8" w:tplc="0409001B" w:tentative="1">
      <w:start w:val="1"/>
      <w:numFmt w:val="bullet"/>
      <w:lvlText w:val=""/>
      <w:lvlJc w:val="left"/>
      <w:pPr>
        <w:ind w:left="6196" w:hanging="360"/>
      </w:pPr>
      <w:rPr>
        <w:rFonts w:ascii="Wingdings" w:hAnsi="Wingdings" w:hint="default"/>
      </w:rPr>
    </w:lvl>
  </w:abstractNum>
  <w:abstractNum w:abstractNumId="11" w15:restartNumberingAfterBreak="0">
    <w:nsid w:val="272B490D"/>
    <w:multiLevelType w:val="hybridMultilevel"/>
    <w:tmpl w:val="8134428A"/>
    <w:lvl w:ilvl="0" w:tplc="04090003">
      <w:start w:val="1"/>
      <w:numFmt w:val="bullet"/>
      <w:lvlText w:val="o"/>
      <w:lvlJc w:val="left"/>
      <w:pPr>
        <w:tabs>
          <w:tab w:val="num" w:pos="1080"/>
        </w:tabs>
        <w:ind w:left="1080" w:hanging="360"/>
      </w:pPr>
      <w:rPr>
        <w:rFonts w:ascii="Courier New" w:hAnsi="Courier New" w:cs="Courier New" w:hint="default"/>
      </w:rPr>
    </w:lvl>
    <w:lvl w:ilvl="1" w:tplc="ADDC41BA">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AC1623E"/>
    <w:multiLevelType w:val="hybridMultilevel"/>
    <w:tmpl w:val="3E526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352AA"/>
    <w:multiLevelType w:val="hybridMultilevel"/>
    <w:tmpl w:val="E8CC64B4"/>
    <w:lvl w:ilvl="0" w:tplc="C6AC479A">
      <w:start w:val="1"/>
      <w:numFmt w:val="bullet"/>
      <w:pStyle w:val="ListParagraph"/>
      <w:lvlText w:val=""/>
      <w:lvlJc w:val="left"/>
      <w:pPr>
        <w:ind w:left="1440" w:hanging="360"/>
      </w:pPr>
      <w:rPr>
        <w:rFonts w:ascii="Wingdings" w:hAnsi="Wingdings" w:hint="default"/>
        <w:color w:val="E36C0A" w:themeColor="accent6" w:themeShade="BF"/>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F9F12AC"/>
    <w:multiLevelType w:val="hybridMultilevel"/>
    <w:tmpl w:val="F7E80A08"/>
    <w:lvl w:ilvl="0" w:tplc="9C12D954">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34974E7A"/>
    <w:multiLevelType w:val="hybridMultilevel"/>
    <w:tmpl w:val="A65A5A30"/>
    <w:lvl w:ilvl="0" w:tplc="6BD4042E">
      <w:start w:val="1"/>
      <w:numFmt w:val="decimal"/>
      <w:pStyle w:val="WExerciselist"/>
      <w:lvlText w:val="%1."/>
      <w:lvlJc w:val="left"/>
      <w:pPr>
        <w:ind w:left="360" w:hanging="360"/>
      </w:pPr>
      <w:rPr>
        <w:rFonts w:hint="default"/>
      </w:rPr>
    </w:lvl>
    <w:lvl w:ilvl="1" w:tplc="04090019">
      <w:start w:val="12"/>
      <w:numFmt w:val="bullet"/>
      <w:lvlText w:val="-"/>
      <w:lvlJc w:val="left"/>
      <w:pPr>
        <w:ind w:left="1156" w:hanging="360"/>
      </w:pPr>
      <w:rPr>
        <w:rFonts w:ascii="Cambria" w:eastAsiaTheme="minorHAnsi" w:hAnsi="Cambria" w:cstheme="minorBidi" w:hint="default"/>
      </w:rPr>
    </w:lvl>
    <w:lvl w:ilvl="2" w:tplc="0409001B" w:tentative="1">
      <w:start w:val="1"/>
      <w:numFmt w:val="bullet"/>
      <w:lvlText w:val=""/>
      <w:lvlJc w:val="left"/>
      <w:pPr>
        <w:ind w:left="1876" w:hanging="360"/>
      </w:pPr>
      <w:rPr>
        <w:rFonts w:ascii="Wingdings" w:hAnsi="Wingdings" w:hint="default"/>
      </w:rPr>
    </w:lvl>
    <w:lvl w:ilvl="3" w:tplc="0409000F" w:tentative="1">
      <w:start w:val="1"/>
      <w:numFmt w:val="bullet"/>
      <w:lvlText w:val=""/>
      <w:lvlJc w:val="left"/>
      <w:pPr>
        <w:ind w:left="2596" w:hanging="360"/>
      </w:pPr>
      <w:rPr>
        <w:rFonts w:ascii="Symbol" w:hAnsi="Symbol" w:hint="default"/>
      </w:rPr>
    </w:lvl>
    <w:lvl w:ilvl="4" w:tplc="04090019" w:tentative="1">
      <w:start w:val="1"/>
      <w:numFmt w:val="bullet"/>
      <w:lvlText w:val="o"/>
      <w:lvlJc w:val="left"/>
      <w:pPr>
        <w:ind w:left="3316" w:hanging="360"/>
      </w:pPr>
      <w:rPr>
        <w:rFonts w:ascii="Courier New" w:hAnsi="Courier New" w:hint="default"/>
      </w:rPr>
    </w:lvl>
    <w:lvl w:ilvl="5" w:tplc="0409001B" w:tentative="1">
      <w:start w:val="1"/>
      <w:numFmt w:val="bullet"/>
      <w:lvlText w:val=""/>
      <w:lvlJc w:val="left"/>
      <w:pPr>
        <w:ind w:left="4036" w:hanging="360"/>
      </w:pPr>
      <w:rPr>
        <w:rFonts w:ascii="Wingdings" w:hAnsi="Wingdings" w:hint="default"/>
      </w:rPr>
    </w:lvl>
    <w:lvl w:ilvl="6" w:tplc="0409000F" w:tentative="1">
      <w:start w:val="1"/>
      <w:numFmt w:val="bullet"/>
      <w:lvlText w:val=""/>
      <w:lvlJc w:val="left"/>
      <w:pPr>
        <w:ind w:left="4756" w:hanging="360"/>
      </w:pPr>
      <w:rPr>
        <w:rFonts w:ascii="Symbol" w:hAnsi="Symbol" w:hint="default"/>
      </w:rPr>
    </w:lvl>
    <w:lvl w:ilvl="7" w:tplc="04090019" w:tentative="1">
      <w:start w:val="1"/>
      <w:numFmt w:val="bullet"/>
      <w:lvlText w:val="o"/>
      <w:lvlJc w:val="left"/>
      <w:pPr>
        <w:ind w:left="5476" w:hanging="360"/>
      </w:pPr>
      <w:rPr>
        <w:rFonts w:ascii="Courier New" w:hAnsi="Courier New" w:hint="default"/>
      </w:rPr>
    </w:lvl>
    <w:lvl w:ilvl="8" w:tplc="0409001B" w:tentative="1">
      <w:start w:val="1"/>
      <w:numFmt w:val="bullet"/>
      <w:lvlText w:val=""/>
      <w:lvlJc w:val="left"/>
      <w:pPr>
        <w:ind w:left="6196" w:hanging="360"/>
      </w:pPr>
      <w:rPr>
        <w:rFonts w:ascii="Wingdings" w:hAnsi="Wingdings" w:hint="default"/>
      </w:rPr>
    </w:lvl>
  </w:abstractNum>
  <w:abstractNum w:abstractNumId="16" w15:restartNumberingAfterBreak="0">
    <w:nsid w:val="3B683BC2"/>
    <w:multiLevelType w:val="hybridMultilevel"/>
    <w:tmpl w:val="E9B67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6671D6"/>
    <w:multiLevelType w:val="hybridMultilevel"/>
    <w:tmpl w:val="F12A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321BD"/>
    <w:multiLevelType w:val="hybridMultilevel"/>
    <w:tmpl w:val="FFC0381E"/>
    <w:lvl w:ilvl="0" w:tplc="ADDC41BA">
      <w:start w:val="1"/>
      <w:numFmt w:val="bullet"/>
      <w:lvlText w:val=""/>
      <w:lvlJc w:val="left"/>
      <w:pPr>
        <w:tabs>
          <w:tab w:val="num" w:pos="720"/>
        </w:tabs>
        <w:ind w:left="720" w:hanging="360"/>
      </w:pPr>
      <w:rPr>
        <w:rFonts w:ascii="Symbol" w:hAnsi="Symbol" w:hint="default"/>
      </w:rPr>
    </w:lvl>
    <w:lvl w:ilvl="1" w:tplc="ADDC41BA">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15:restartNumberingAfterBreak="0">
    <w:nsid w:val="53EF375C"/>
    <w:multiLevelType w:val="hybridMultilevel"/>
    <w:tmpl w:val="8C807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046F41"/>
    <w:multiLevelType w:val="hybridMultilevel"/>
    <w:tmpl w:val="D9541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644663"/>
    <w:multiLevelType w:val="hybridMultilevel"/>
    <w:tmpl w:val="856AA9EA"/>
    <w:lvl w:ilvl="0" w:tplc="8B4A06A6">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2" w15:restartNumberingAfterBreak="0">
    <w:nsid w:val="7C047461"/>
    <w:multiLevelType w:val="hybridMultilevel"/>
    <w:tmpl w:val="A21A530E"/>
    <w:lvl w:ilvl="0" w:tplc="603E9DE4">
      <w:start w:val="1"/>
      <w:numFmt w:val="bullet"/>
      <w:pStyle w:val="Wletterbullet"/>
      <w:lvlText w:val=""/>
      <w:lvlJc w:val="left"/>
      <w:pPr>
        <w:ind w:left="36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5"/>
  </w:num>
  <w:num w:numId="4">
    <w:abstractNumId w:val="14"/>
  </w:num>
  <w:num w:numId="5">
    <w:abstractNumId w:val="6"/>
  </w:num>
  <w:num w:numId="6">
    <w:abstractNumId w:val="22"/>
  </w:num>
  <w:num w:numId="7">
    <w:abstractNumId w:val="3"/>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9"/>
  </w:num>
  <w:num w:numId="15">
    <w:abstractNumId w:val="13"/>
  </w:num>
  <w:num w:numId="16">
    <w:abstractNumId w:val="5"/>
  </w:num>
  <w:num w:numId="17">
    <w:abstractNumId w:val="0"/>
  </w:num>
  <w:num w:numId="18">
    <w:abstractNumId w:val="12"/>
  </w:num>
  <w:num w:numId="19">
    <w:abstractNumId w:val="20"/>
  </w:num>
  <w:num w:numId="20">
    <w:abstractNumId w:val="2"/>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9"/>
  </w:num>
  <w:num w:numId="35">
    <w:abstractNumId w:val="9"/>
  </w:num>
  <w:num w:numId="36">
    <w:abstractNumId w:val="9"/>
  </w:num>
  <w:num w:numId="37">
    <w:abstractNumId w:val="9"/>
  </w:num>
  <w:num w:numId="38">
    <w:abstractNumId w:val="1"/>
  </w:num>
  <w:num w:numId="39">
    <w:abstractNumId w:val="10"/>
  </w:num>
  <w:num w:numId="40">
    <w:abstractNumId w:val="16"/>
  </w:num>
  <w:num w:numId="41">
    <w:abstractNumId w:val="19"/>
  </w:num>
  <w:num w:numId="42">
    <w:abstractNumId w:val="17"/>
  </w:num>
  <w:num w:numId="43">
    <w:abstractNumId w:val="13"/>
  </w:num>
  <w:num w:numId="44">
    <w:abstractNumId w:val="10"/>
  </w:num>
  <w:num w:numId="45">
    <w:abstractNumId w:val="13"/>
  </w:num>
  <w:num w:numId="46">
    <w:abstractNumId w:val="13"/>
  </w:num>
  <w:num w:numId="47">
    <w:abstractNumId w:val="13"/>
  </w:num>
  <w:num w:numId="48">
    <w:abstractNumId w:val="13"/>
  </w:num>
  <w:num w:numId="49">
    <w:abstractNumId w:val="1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20"/>
    <w:rsid w:val="00003341"/>
    <w:rsid w:val="00023202"/>
    <w:rsid w:val="00027BCB"/>
    <w:rsid w:val="00062D99"/>
    <w:rsid w:val="0006304A"/>
    <w:rsid w:val="00073515"/>
    <w:rsid w:val="00080657"/>
    <w:rsid w:val="0008288A"/>
    <w:rsid w:val="0008728A"/>
    <w:rsid w:val="00096877"/>
    <w:rsid w:val="00096A54"/>
    <w:rsid w:val="000C14AD"/>
    <w:rsid w:val="000D72C1"/>
    <w:rsid w:val="000E4FAA"/>
    <w:rsid w:val="000E63E7"/>
    <w:rsid w:val="00102300"/>
    <w:rsid w:val="00121DF2"/>
    <w:rsid w:val="00136A10"/>
    <w:rsid w:val="001475D2"/>
    <w:rsid w:val="00181D2B"/>
    <w:rsid w:val="0018376C"/>
    <w:rsid w:val="001A5869"/>
    <w:rsid w:val="001A5BD0"/>
    <w:rsid w:val="001B7C8A"/>
    <w:rsid w:val="001D2619"/>
    <w:rsid w:val="001E5047"/>
    <w:rsid w:val="002073CC"/>
    <w:rsid w:val="002160FE"/>
    <w:rsid w:val="002350DC"/>
    <w:rsid w:val="002421A3"/>
    <w:rsid w:val="0025213F"/>
    <w:rsid w:val="00257DC9"/>
    <w:rsid w:val="0026319F"/>
    <w:rsid w:val="00263A7E"/>
    <w:rsid w:val="00271D3A"/>
    <w:rsid w:val="00273BBC"/>
    <w:rsid w:val="002818FD"/>
    <w:rsid w:val="00285330"/>
    <w:rsid w:val="00287F96"/>
    <w:rsid w:val="002921A9"/>
    <w:rsid w:val="002934F9"/>
    <w:rsid w:val="00293884"/>
    <w:rsid w:val="00295436"/>
    <w:rsid w:val="002A3190"/>
    <w:rsid w:val="002A51B0"/>
    <w:rsid w:val="002A72B4"/>
    <w:rsid w:val="002C3C09"/>
    <w:rsid w:val="002C548B"/>
    <w:rsid w:val="002C741A"/>
    <w:rsid w:val="002D2C26"/>
    <w:rsid w:val="00307BFD"/>
    <w:rsid w:val="00324986"/>
    <w:rsid w:val="00332F64"/>
    <w:rsid w:val="0033425A"/>
    <w:rsid w:val="003375A4"/>
    <w:rsid w:val="00362EC9"/>
    <w:rsid w:val="003740E5"/>
    <w:rsid w:val="00386B90"/>
    <w:rsid w:val="0039672D"/>
    <w:rsid w:val="003A78BC"/>
    <w:rsid w:val="003B7E51"/>
    <w:rsid w:val="003C575C"/>
    <w:rsid w:val="003E437D"/>
    <w:rsid w:val="003E46F4"/>
    <w:rsid w:val="0040237D"/>
    <w:rsid w:val="004314E2"/>
    <w:rsid w:val="00441774"/>
    <w:rsid w:val="00444A0F"/>
    <w:rsid w:val="00446CFF"/>
    <w:rsid w:val="00451279"/>
    <w:rsid w:val="0045354C"/>
    <w:rsid w:val="00483F96"/>
    <w:rsid w:val="004858C4"/>
    <w:rsid w:val="00495607"/>
    <w:rsid w:val="004A668E"/>
    <w:rsid w:val="004B3A0F"/>
    <w:rsid w:val="00516E3B"/>
    <w:rsid w:val="00534AEC"/>
    <w:rsid w:val="0056431A"/>
    <w:rsid w:val="00565B5A"/>
    <w:rsid w:val="00574591"/>
    <w:rsid w:val="00574C14"/>
    <w:rsid w:val="005843BE"/>
    <w:rsid w:val="005D09AC"/>
    <w:rsid w:val="005D1939"/>
    <w:rsid w:val="005E178B"/>
    <w:rsid w:val="005F3CAA"/>
    <w:rsid w:val="006066BE"/>
    <w:rsid w:val="00616FCA"/>
    <w:rsid w:val="00621899"/>
    <w:rsid w:val="00622F36"/>
    <w:rsid w:val="0063382C"/>
    <w:rsid w:val="00636392"/>
    <w:rsid w:val="0064717A"/>
    <w:rsid w:val="006521F4"/>
    <w:rsid w:val="0065689C"/>
    <w:rsid w:val="00661025"/>
    <w:rsid w:val="00684CC9"/>
    <w:rsid w:val="006879EF"/>
    <w:rsid w:val="0069007E"/>
    <w:rsid w:val="006A120B"/>
    <w:rsid w:val="006C6E3F"/>
    <w:rsid w:val="006E0804"/>
    <w:rsid w:val="006F7CF8"/>
    <w:rsid w:val="00710737"/>
    <w:rsid w:val="00722113"/>
    <w:rsid w:val="00724BEC"/>
    <w:rsid w:val="00734DBD"/>
    <w:rsid w:val="00742534"/>
    <w:rsid w:val="00743F97"/>
    <w:rsid w:val="007517AA"/>
    <w:rsid w:val="007556EA"/>
    <w:rsid w:val="00757DC3"/>
    <w:rsid w:val="007605CB"/>
    <w:rsid w:val="00770116"/>
    <w:rsid w:val="00792D92"/>
    <w:rsid w:val="007A08BB"/>
    <w:rsid w:val="007A095B"/>
    <w:rsid w:val="007A5D4E"/>
    <w:rsid w:val="007B252C"/>
    <w:rsid w:val="007C51F2"/>
    <w:rsid w:val="007D7643"/>
    <w:rsid w:val="007D7F47"/>
    <w:rsid w:val="007E356A"/>
    <w:rsid w:val="007E629B"/>
    <w:rsid w:val="00803789"/>
    <w:rsid w:val="0080589A"/>
    <w:rsid w:val="008074D6"/>
    <w:rsid w:val="00814608"/>
    <w:rsid w:val="00827B49"/>
    <w:rsid w:val="00836F68"/>
    <w:rsid w:val="008428DB"/>
    <w:rsid w:val="00851070"/>
    <w:rsid w:val="00855218"/>
    <w:rsid w:val="00876BD0"/>
    <w:rsid w:val="008879A3"/>
    <w:rsid w:val="008A06A4"/>
    <w:rsid w:val="008B46D2"/>
    <w:rsid w:val="008C0755"/>
    <w:rsid w:val="008C725F"/>
    <w:rsid w:val="009003DD"/>
    <w:rsid w:val="00920C63"/>
    <w:rsid w:val="00921BED"/>
    <w:rsid w:val="00996F47"/>
    <w:rsid w:val="009974FC"/>
    <w:rsid w:val="00997F02"/>
    <w:rsid w:val="009A1D28"/>
    <w:rsid w:val="009B5071"/>
    <w:rsid w:val="009C0F9B"/>
    <w:rsid w:val="009E0975"/>
    <w:rsid w:val="009E225B"/>
    <w:rsid w:val="009E29B3"/>
    <w:rsid w:val="009E5237"/>
    <w:rsid w:val="009F2D26"/>
    <w:rsid w:val="009F5CFD"/>
    <w:rsid w:val="009F64EE"/>
    <w:rsid w:val="00A33729"/>
    <w:rsid w:val="00A34E79"/>
    <w:rsid w:val="00A37DB8"/>
    <w:rsid w:val="00A40957"/>
    <w:rsid w:val="00A4616E"/>
    <w:rsid w:val="00A556AE"/>
    <w:rsid w:val="00A61FC3"/>
    <w:rsid w:val="00A6298E"/>
    <w:rsid w:val="00A737EB"/>
    <w:rsid w:val="00A91794"/>
    <w:rsid w:val="00AA2AFA"/>
    <w:rsid w:val="00AA690E"/>
    <w:rsid w:val="00AC2936"/>
    <w:rsid w:val="00AE052C"/>
    <w:rsid w:val="00AE6C23"/>
    <w:rsid w:val="00AE710E"/>
    <w:rsid w:val="00B036D2"/>
    <w:rsid w:val="00B05D83"/>
    <w:rsid w:val="00B144A6"/>
    <w:rsid w:val="00B24EE9"/>
    <w:rsid w:val="00B36EFB"/>
    <w:rsid w:val="00B4195A"/>
    <w:rsid w:val="00B430C8"/>
    <w:rsid w:val="00B4452E"/>
    <w:rsid w:val="00B44F98"/>
    <w:rsid w:val="00B47940"/>
    <w:rsid w:val="00B50F25"/>
    <w:rsid w:val="00B81162"/>
    <w:rsid w:val="00B829C4"/>
    <w:rsid w:val="00B8669C"/>
    <w:rsid w:val="00B870DF"/>
    <w:rsid w:val="00B910B2"/>
    <w:rsid w:val="00B91295"/>
    <w:rsid w:val="00B91C50"/>
    <w:rsid w:val="00BA066D"/>
    <w:rsid w:val="00BA1188"/>
    <w:rsid w:val="00BA3336"/>
    <w:rsid w:val="00BA5611"/>
    <w:rsid w:val="00BB334A"/>
    <w:rsid w:val="00BB76F3"/>
    <w:rsid w:val="00BC0B03"/>
    <w:rsid w:val="00BE6B71"/>
    <w:rsid w:val="00BF510E"/>
    <w:rsid w:val="00BF6844"/>
    <w:rsid w:val="00C06414"/>
    <w:rsid w:val="00C07673"/>
    <w:rsid w:val="00C07A22"/>
    <w:rsid w:val="00C120BF"/>
    <w:rsid w:val="00C12E15"/>
    <w:rsid w:val="00C24025"/>
    <w:rsid w:val="00C41032"/>
    <w:rsid w:val="00C44A85"/>
    <w:rsid w:val="00C54A1F"/>
    <w:rsid w:val="00C54F45"/>
    <w:rsid w:val="00C57F01"/>
    <w:rsid w:val="00C63E97"/>
    <w:rsid w:val="00C67A85"/>
    <w:rsid w:val="00C71216"/>
    <w:rsid w:val="00C72ACE"/>
    <w:rsid w:val="00C81094"/>
    <w:rsid w:val="00C92F1F"/>
    <w:rsid w:val="00C94097"/>
    <w:rsid w:val="00CA757A"/>
    <w:rsid w:val="00CA7D86"/>
    <w:rsid w:val="00CC2F91"/>
    <w:rsid w:val="00CD2331"/>
    <w:rsid w:val="00CE01E1"/>
    <w:rsid w:val="00CE092B"/>
    <w:rsid w:val="00CE0EA7"/>
    <w:rsid w:val="00D30788"/>
    <w:rsid w:val="00D3582F"/>
    <w:rsid w:val="00D419ED"/>
    <w:rsid w:val="00D43E61"/>
    <w:rsid w:val="00D43F2F"/>
    <w:rsid w:val="00D5170E"/>
    <w:rsid w:val="00D623BD"/>
    <w:rsid w:val="00D7033D"/>
    <w:rsid w:val="00D72F24"/>
    <w:rsid w:val="00D7447D"/>
    <w:rsid w:val="00D76523"/>
    <w:rsid w:val="00D87F5B"/>
    <w:rsid w:val="00D910B5"/>
    <w:rsid w:val="00D91AF8"/>
    <w:rsid w:val="00D91DC2"/>
    <w:rsid w:val="00D939A5"/>
    <w:rsid w:val="00DA3EAE"/>
    <w:rsid w:val="00DA7A2A"/>
    <w:rsid w:val="00DB6FC6"/>
    <w:rsid w:val="00DD15BA"/>
    <w:rsid w:val="00DD175C"/>
    <w:rsid w:val="00DE143D"/>
    <w:rsid w:val="00E02E9D"/>
    <w:rsid w:val="00E33120"/>
    <w:rsid w:val="00E52287"/>
    <w:rsid w:val="00E62AF3"/>
    <w:rsid w:val="00E66F63"/>
    <w:rsid w:val="00E7502C"/>
    <w:rsid w:val="00E81B6B"/>
    <w:rsid w:val="00E8264D"/>
    <w:rsid w:val="00E96A48"/>
    <w:rsid w:val="00EA1D05"/>
    <w:rsid w:val="00EA4FB0"/>
    <w:rsid w:val="00EA6887"/>
    <w:rsid w:val="00EB6904"/>
    <w:rsid w:val="00EC09BA"/>
    <w:rsid w:val="00EC59C7"/>
    <w:rsid w:val="00EC7E0E"/>
    <w:rsid w:val="00ED3950"/>
    <w:rsid w:val="00F00D29"/>
    <w:rsid w:val="00F32FC3"/>
    <w:rsid w:val="00F40F3A"/>
    <w:rsid w:val="00F43E25"/>
    <w:rsid w:val="00F46883"/>
    <w:rsid w:val="00F55E9F"/>
    <w:rsid w:val="00F62C1B"/>
    <w:rsid w:val="00F7483A"/>
    <w:rsid w:val="00F775EF"/>
    <w:rsid w:val="00F867EE"/>
    <w:rsid w:val="00FB204B"/>
    <w:rsid w:val="00FC2E72"/>
    <w:rsid w:val="00FC75D7"/>
    <w:rsid w:val="00FD2ECD"/>
    <w:rsid w:val="00FD5A86"/>
    <w:rsid w:val="00FF0702"/>
    <w:rsid w:val="00FF423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18F5EC3"/>
  <w15:docId w15:val="{C09F09D4-3F53-4746-8285-5B943B61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1A9"/>
    <w:pPr>
      <w:spacing w:after="200"/>
    </w:pPr>
    <w:rPr>
      <w:rFonts w:ascii="Quicksand" w:eastAsia="Calibri" w:hAnsi="Quicksand" w:cs="Times New Roman"/>
      <w:sz w:val="22"/>
      <w:szCs w:val="22"/>
      <w:lang w:val="en-GB"/>
    </w:rPr>
  </w:style>
  <w:style w:type="paragraph" w:styleId="Heading1">
    <w:name w:val="heading 1"/>
    <w:next w:val="BodyText"/>
    <w:link w:val="Heading1Char"/>
    <w:qFormat/>
    <w:rsid w:val="00770116"/>
    <w:pPr>
      <w:pageBreakBefore/>
      <w:suppressAutoHyphens/>
      <w:spacing w:after="120"/>
      <w:outlineLvl w:val="0"/>
    </w:pPr>
    <w:rPr>
      <w:rFonts w:ascii="Quicksand" w:eastAsia="Calibri" w:hAnsi="Quicksand" w:cs="Times New Roman"/>
      <w:b/>
      <w:color w:val="E36C0A" w:themeColor="accent6" w:themeShade="BF"/>
      <w:sz w:val="44"/>
      <w:szCs w:val="22"/>
      <w:lang w:val="en-GB"/>
    </w:rPr>
  </w:style>
  <w:style w:type="paragraph" w:styleId="Heading2">
    <w:name w:val="heading 2"/>
    <w:next w:val="BodyText"/>
    <w:link w:val="Heading2Char"/>
    <w:unhideWhenUsed/>
    <w:qFormat/>
    <w:rsid w:val="00770116"/>
    <w:pPr>
      <w:spacing w:before="480" w:after="120"/>
      <w:outlineLvl w:val="1"/>
    </w:pPr>
    <w:rPr>
      <w:rFonts w:ascii="Quicksand" w:eastAsia="Calibri" w:hAnsi="Quicksand" w:cs="Times New Roman"/>
      <w:b/>
      <w:color w:val="E36C0A" w:themeColor="accent6" w:themeShade="BF"/>
      <w:sz w:val="28"/>
      <w:szCs w:val="22"/>
      <w:lang w:val="en-GB"/>
    </w:rPr>
  </w:style>
  <w:style w:type="paragraph" w:styleId="Heading3">
    <w:name w:val="heading 3"/>
    <w:basedOn w:val="Heading2"/>
    <w:next w:val="Normal"/>
    <w:link w:val="Heading3Char"/>
    <w:unhideWhenUsed/>
    <w:qFormat/>
    <w:rsid w:val="000531C3"/>
    <w:pPr>
      <w:spacing w:before="240"/>
      <w:outlineLvl w:val="2"/>
    </w:pPr>
    <w:rPr>
      <w:sz w:val="22"/>
    </w:rPr>
  </w:style>
  <w:style w:type="paragraph" w:styleId="Heading4">
    <w:name w:val="heading 4"/>
    <w:basedOn w:val="BodyText"/>
    <w:next w:val="Normal"/>
    <w:link w:val="Heading4Char"/>
    <w:unhideWhenUsed/>
    <w:qFormat/>
    <w:rsid w:val="00770116"/>
    <w:pPr>
      <w:outlineLvl w:val="3"/>
    </w:pPr>
    <w:rPr>
      <w:b/>
      <w:i/>
      <w:color w:val="595959" w:themeColor="text1" w:themeTint="A6"/>
    </w:rPr>
  </w:style>
  <w:style w:type="paragraph" w:styleId="Heading5">
    <w:name w:val="heading 5"/>
    <w:basedOn w:val="Heading4"/>
    <w:next w:val="Normal"/>
    <w:link w:val="Heading5Char"/>
    <w:uiPriority w:val="9"/>
    <w:unhideWhenUsed/>
    <w:qFormat/>
    <w:rsid w:val="00AC2853"/>
    <w:pPr>
      <w:outlineLvl w:val="4"/>
    </w:pPr>
    <w:rPr>
      <w:rFonts w:ascii="Congress Sans Light Std" w:hAnsi="Congress Sans Light Std"/>
    </w:rPr>
  </w:style>
  <w:style w:type="paragraph" w:styleId="Heading8">
    <w:name w:val="heading 8"/>
    <w:basedOn w:val="Normal"/>
    <w:next w:val="Normal"/>
    <w:link w:val="Heading8Char"/>
    <w:qFormat/>
    <w:rsid w:val="00770116"/>
    <w:pPr>
      <w:keepNext/>
      <w:widowControl w:val="0"/>
      <w:outlineLvl w:val="7"/>
    </w:pPr>
    <w:rPr>
      <w:b/>
      <w:kern w:val="28"/>
      <w:lang w:val="en-US"/>
    </w:rPr>
  </w:style>
  <w:style w:type="paragraph" w:styleId="Heading9">
    <w:name w:val="heading 9"/>
    <w:basedOn w:val="Normal"/>
    <w:next w:val="Normal"/>
    <w:link w:val="Heading9Char"/>
    <w:uiPriority w:val="9"/>
    <w:semiHidden/>
    <w:unhideWhenUsed/>
    <w:qFormat/>
    <w:rsid w:val="007611E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921A9"/>
    <w:pPr>
      <w:spacing w:line="300" w:lineRule="exact"/>
    </w:pPr>
  </w:style>
  <w:style w:type="character" w:customStyle="1" w:styleId="BodyTextChar">
    <w:name w:val="Body Text Char"/>
    <w:basedOn w:val="DefaultParagraphFont"/>
    <w:link w:val="BodyText"/>
    <w:rsid w:val="002921A9"/>
    <w:rPr>
      <w:rFonts w:ascii="Quicksand" w:eastAsia="Calibri" w:hAnsi="Quicksand" w:cs="Times New Roman"/>
      <w:sz w:val="22"/>
      <w:szCs w:val="22"/>
      <w:lang w:val="en-GB"/>
    </w:rPr>
  </w:style>
  <w:style w:type="character" w:customStyle="1" w:styleId="Heading1Char">
    <w:name w:val="Heading 1 Char"/>
    <w:basedOn w:val="DefaultParagraphFont"/>
    <w:link w:val="Heading1"/>
    <w:rsid w:val="00770116"/>
    <w:rPr>
      <w:rFonts w:ascii="Quicksand" w:eastAsia="Calibri" w:hAnsi="Quicksand" w:cs="Times New Roman"/>
      <w:b/>
      <w:color w:val="E36C0A" w:themeColor="accent6" w:themeShade="BF"/>
      <w:sz w:val="44"/>
      <w:szCs w:val="22"/>
      <w:lang w:val="en-GB"/>
    </w:rPr>
  </w:style>
  <w:style w:type="character" w:customStyle="1" w:styleId="Heading2Char">
    <w:name w:val="Heading 2 Char"/>
    <w:basedOn w:val="DefaultParagraphFont"/>
    <w:link w:val="Heading2"/>
    <w:rsid w:val="00770116"/>
    <w:rPr>
      <w:rFonts w:ascii="Quicksand" w:eastAsia="Calibri" w:hAnsi="Quicksand" w:cs="Times New Roman"/>
      <w:b/>
      <w:color w:val="E36C0A" w:themeColor="accent6" w:themeShade="BF"/>
      <w:sz w:val="28"/>
      <w:szCs w:val="22"/>
      <w:lang w:val="en-GB"/>
    </w:rPr>
  </w:style>
  <w:style w:type="character" w:customStyle="1" w:styleId="Heading3Char">
    <w:name w:val="Heading 3 Char"/>
    <w:basedOn w:val="DefaultParagraphFont"/>
    <w:link w:val="Heading3"/>
    <w:rsid w:val="000531C3"/>
    <w:rPr>
      <w:rFonts w:ascii="Congress Sans Std" w:eastAsia="Calibri" w:hAnsi="Congress Sans Std" w:cs="Times New Roman"/>
      <w:b/>
      <w:color w:val="404040" w:themeColor="text1" w:themeTint="BF"/>
      <w:sz w:val="22"/>
      <w:szCs w:val="22"/>
      <w:lang w:val="en-GB"/>
    </w:rPr>
  </w:style>
  <w:style w:type="character" w:customStyle="1" w:styleId="Heading4Char">
    <w:name w:val="Heading 4 Char"/>
    <w:basedOn w:val="DefaultParagraphFont"/>
    <w:link w:val="Heading4"/>
    <w:rsid w:val="00770116"/>
    <w:rPr>
      <w:rFonts w:ascii="Quicksand" w:eastAsia="Times New Roman" w:hAnsi="Quicksand" w:cs="Times New Roman"/>
      <w:b/>
      <w:i/>
      <w:color w:val="595959" w:themeColor="text1" w:themeTint="A6"/>
      <w:sz w:val="22"/>
      <w:szCs w:val="20"/>
      <w:lang w:val="en-AU"/>
    </w:rPr>
  </w:style>
  <w:style w:type="character" w:customStyle="1" w:styleId="Heading5Char">
    <w:name w:val="Heading 5 Char"/>
    <w:basedOn w:val="DefaultParagraphFont"/>
    <w:link w:val="Heading5"/>
    <w:uiPriority w:val="9"/>
    <w:rsid w:val="00AC2853"/>
    <w:rPr>
      <w:rFonts w:ascii="Congress Sans Light Std" w:eastAsia="Calibri" w:hAnsi="Congress Sans Light Std" w:cs="Times New Roman"/>
      <w:i/>
      <w:sz w:val="22"/>
      <w:szCs w:val="22"/>
      <w:lang w:val="en-GB"/>
    </w:rPr>
  </w:style>
  <w:style w:type="character" w:customStyle="1" w:styleId="Heading8Char">
    <w:name w:val="Heading 8 Char"/>
    <w:basedOn w:val="DefaultParagraphFont"/>
    <w:link w:val="Heading8"/>
    <w:rsid w:val="00770116"/>
    <w:rPr>
      <w:rFonts w:ascii="Quicksand" w:eastAsia="Times New Roman" w:hAnsi="Quicksand" w:cs="Times New Roman"/>
      <w:b/>
      <w:kern w:val="28"/>
      <w:sz w:val="20"/>
      <w:szCs w:val="20"/>
    </w:rPr>
  </w:style>
  <w:style w:type="character" w:customStyle="1" w:styleId="Heading9Char">
    <w:name w:val="Heading 9 Char"/>
    <w:basedOn w:val="DefaultParagraphFont"/>
    <w:link w:val="Heading9"/>
    <w:uiPriority w:val="9"/>
    <w:semiHidden/>
    <w:rsid w:val="007611E2"/>
    <w:rPr>
      <w:rFonts w:asciiTheme="majorHAnsi" w:eastAsiaTheme="majorEastAsia" w:hAnsiTheme="majorHAnsi" w:cstheme="majorBidi"/>
      <w:i/>
      <w:iCs/>
      <w:color w:val="404040" w:themeColor="text1" w:themeTint="BF"/>
      <w:lang w:val="en-GB"/>
    </w:rPr>
  </w:style>
  <w:style w:type="paragraph" w:customStyle="1" w:styleId="WExerciseHead">
    <w:name w:val="W_Exercise Head"/>
    <w:basedOn w:val="Heading2"/>
    <w:qFormat/>
    <w:rsid w:val="000E728D"/>
    <w:pPr>
      <w:pageBreakBefore/>
      <w:spacing w:before="0"/>
    </w:pPr>
    <w:rPr>
      <w:caps/>
      <w:sz w:val="24"/>
    </w:rPr>
  </w:style>
  <w:style w:type="character" w:customStyle="1" w:styleId="WExercise">
    <w:name w:val="W_Exercise"/>
    <w:rsid w:val="000E728D"/>
    <w:rPr>
      <w:color w:val="FFFFFF" w:themeColor="background1"/>
      <w:shd w:val="clear" w:color="auto" w:fill="999999"/>
    </w:rPr>
  </w:style>
  <w:style w:type="paragraph" w:customStyle="1" w:styleId="WExercisegoals">
    <w:name w:val="W_Exercise goals"/>
    <w:qFormat/>
    <w:rsid w:val="00770116"/>
    <w:pPr>
      <w:numPr>
        <w:numId w:val="5"/>
      </w:numPr>
      <w:spacing w:after="300" w:line="300" w:lineRule="exact"/>
      <w:contextualSpacing/>
    </w:pPr>
    <w:rPr>
      <w:rFonts w:ascii="Quicksand" w:eastAsia="Calibri" w:hAnsi="Quicksand" w:cs="Times New Roman"/>
      <w:b/>
      <w:sz w:val="22"/>
      <w:szCs w:val="22"/>
      <w:lang w:val="en-GB"/>
    </w:rPr>
  </w:style>
  <w:style w:type="paragraph" w:customStyle="1" w:styleId="WExerciselist">
    <w:name w:val="W_Exercise list"/>
    <w:basedOn w:val="ListParagraph"/>
    <w:qFormat/>
    <w:rsid w:val="00770116"/>
    <w:pPr>
      <w:numPr>
        <w:numId w:val="3"/>
      </w:numPr>
      <w:spacing w:before="360" w:after="240" w:line="300" w:lineRule="exact"/>
      <w:ind w:left="454" w:hanging="454"/>
    </w:pPr>
    <w:rPr>
      <w:color w:val="404040" w:themeColor="text1" w:themeTint="BF"/>
    </w:rPr>
  </w:style>
  <w:style w:type="paragraph" w:styleId="ListParagraph">
    <w:name w:val="List Paragraph"/>
    <w:aliases w:val="NFP GP Bulleted List,P3Numbered List,CRP Numbered List,List Paragraph (numbered (a)),List Paragraph1,List Paragraph11,L,Recommendation,CV text,Table text,Colorful List - Accent 11,COOP,Primary Bullet List,F5 List Paragraph,Dot pt"/>
    <w:basedOn w:val="Normal"/>
    <w:link w:val="ListParagraphChar"/>
    <w:uiPriority w:val="34"/>
    <w:qFormat/>
    <w:rsid w:val="00EA6887"/>
    <w:pPr>
      <w:numPr>
        <w:numId w:val="15"/>
      </w:numPr>
    </w:pPr>
  </w:style>
  <w:style w:type="paragraph" w:styleId="Header">
    <w:name w:val="header"/>
    <w:basedOn w:val="Normal"/>
    <w:link w:val="HeaderChar"/>
    <w:unhideWhenUsed/>
    <w:rsid w:val="003343A5"/>
    <w:pPr>
      <w:tabs>
        <w:tab w:val="right" w:pos="9026"/>
      </w:tabs>
    </w:pPr>
    <w:rPr>
      <w:rFonts w:ascii="Congress Sans Std" w:hAnsi="Congress Sans Std"/>
      <w:b/>
      <w:noProof/>
      <w:color w:val="7F7F7F" w:themeColor="text1" w:themeTint="80"/>
    </w:rPr>
  </w:style>
  <w:style w:type="character" w:customStyle="1" w:styleId="HeaderChar">
    <w:name w:val="Header Char"/>
    <w:basedOn w:val="DefaultParagraphFont"/>
    <w:link w:val="Header"/>
    <w:uiPriority w:val="99"/>
    <w:rsid w:val="003343A5"/>
    <w:rPr>
      <w:rFonts w:ascii="Congress Sans Std" w:eastAsia="Calibri" w:hAnsi="Congress Sans Std" w:cs="Times New Roman"/>
      <w:b/>
      <w:noProof/>
      <w:color w:val="7F7F7F" w:themeColor="text1" w:themeTint="80"/>
      <w:sz w:val="20"/>
      <w:szCs w:val="22"/>
      <w:lang w:val="en-GB"/>
    </w:rPr>
  </w:style>
  <w:style w:type="paragraph" w:styleId="Footer">
    <w:name w:val="footer"/>
    <w:basedOn w:val="Normal"/>
    <w:link w:val="FooterChar"/>
    <w:uiPriority w:val="99"/>
    <w:unhideWhenUsed/>
    <w:rsid w:val="003343A5"/>
    <w:pPr>
      <w:tabs>
        <w:tab w:val="right" w:pos="9026"/>
      </w:tabs>
    </w:pPr>
    <w:rPr>
      <w:rFonts w:ascii="Congress Sans Std" w:hAnsi="Congress Sans Std"/>
      <w:sz w:val="14"/>
    </w:rPr>
  </w:style>
  <w:style w:type="character" w:customStyle="1" w:styleId="FooterChar">
    <w:name w:val="Footer Char"/>
    <w:basedOn w:val="DefaultParagraphFont"/>
    <w:link w:val="Footer"/>
    <w:uiPriority w:val="99"/>
    <w:rsid w:val="003343A5"/>
    <w:rPr>
      <w:rFonts w:ascii="Congress Sans Std" w:eastAsia="Calibri" w:hAnsi="Congress Sans Std" w:cs="Times New Roman"/>
      <w:sz w:val="14"/>
      <w:szCs w:val="22"/>
      <w:lang w:val="en-GB"/>
    </w:rPr>
  </w:style>
  <w:style w:type="paragraph" w:customStyle="1" w:styleId="Heading1samepage">
    <w:name w:val="Heading 1 (same page)"/>
    <w:basedOn w:val="Heading1"/>
    <w:next w:val="BodyText"/>
    <w:qFormat/>
    <w:rsid w:val="00400AC2"/>
    <w:pPr>
      <w:pageBreakBefore w:val="0"/>
      <w:spacing w:before="960"/>
    </w:pPr>
  </w:style>
  <w:style w:type="character" w:styleId="PageNumber">
    <w:name w:val="page number"/>
    <w:basedOn w:val="DefaultParagraphFont"/>
    <w:uiPriority w:val="99"/>
    <w:rsid w:val="003343A5"/>
    <w:rPr>
      <w:b/>
      <w:color w:val="7F7F7F" w:themeColor="text1" w:themeTint="80"/>
      <w:sz w:val="20"/>
    </w:rPr>
  </w:style>
  <w:style w:type="paragraph" w:customStyle="1" w:styleId="Wbullet">
    <w:name w:val="W_bullet"/>
    <w:basedOn w:val="BodyText"/>
    <w:rsid w:val="00037EFC"/>
    <w:pPr>
      <w:numPr>
        <w:numId w:val="2"/>
      </w:numPr>
      <w:contextualSpacing/>
    </w:pPr>
  </w:style>
  <w:style w:type="paragraph" w:customStyle="1" w:styleId="WTabletextbold">
    <w:name w:val="W_Table text bold"/>
    <w:qFormat/>
    <w:rsid w:val="00F861D2"/>
    <w:pPr>
      <w:ind w:left="113"/>
    </w:pPr>
    <w:rPr>
      <w:rFonts w:ascii="Congress Sans Std" w:eastAsia="Calibri" w:hAnsi="Congress Sans Std" w:cs="Times New Roman"/>
      <w:b/>
      <w:color w:val="404040" w:themeColor="text1" w:themeTint="BF"/>
      <w:sz w:val="20"/>
      <w:szCs w:val="22"/>
      <w:lang w:val="en-GB"/>
    </w:rPr>
  </w:style>
  <w:style w:type="character" w:customStyle="1" w:styleId="WRoman">
    <w:name w:val="W_Roman"/>
    <w:basedOn w:val="DefaultParagraphFont"/>
    <w:rsid w:val="00C21D79"/>
    <w:rPr>
      <w:rFonts w:ascii="Congress Sans Std" w:hAnsi="Congress Sans Std"/>
    </w:rPr>
  </w:style>
  <w:style w:type="paragraph" w:styleId="TOC2">
    <w:name w:val="toc 2"/>
    <w:next w:val="Normal"/>
    <w:uiPriority w:val="39"/>
    <w:qFormat/>
    <w:rsid w:val="00EB293A"/>
    <w:pPr>
      <w:tabs>
        <w:tab w:val="right" w:leader="dot" w:pos="8505"/>
      </w:tabs>
      <w:spacing w:after="40" w:line="300" w:lineRule="exact"/>
    </w:pPr>
    <w:rPr>
      <w:rFonts w:ascii="Congress Sans Light Std" w:eastAsia="Calibri" w:hAnsi="Congress Sans Light Std" w:cs="Times New Roman"/>
      <w:noProof/>
      <w:sz w:val="22"/>
      <w:szCs w:val="22"/>
      <w:lang w:val="en-GB"/>
    </w:rPr>
  </w:style>
  <w:style w:type="paragraph" w:styleId="TOC1">
    <w:name w:val="toc 1"/>
    <w:basedOn w:val="Normal"/>
    <w:next w:val="Normal"/>
    <w:autoRedefine/>
    <w:uiPriority w:val="39"/>
    <w:qFormat/>
    <w:rsid w:val="00EB293A"/>
    <w:pPr>
      <w:tabs>
        <w:tab w:val="right" w:leader="dot" w:pos="8505"/>
      </w:tabs>
      <w:spacing w:before="120" w:after="40" w:line="300" w:lineRule="exact"/>
    </w:pPr>
    <w:rPr>
      <w:rFonts w:ascii="Congress Sans Std" w:hAnsi="Congress Sans Std"/>
      <w:noProof/>
    </w:rPr>
  </w:style>
  <w:style w:type="paragraph" w:customStyle="1" w:styleId="WCover1">
    <w:name w:val="W_Cover 1"/>
    <w:basedOn w:val="Normal"/>
    <w:qFormat/>
    <w:rsid w:val="00F44DE3"/>
    <w:pPr>
      <w:jc w:val="center"/>
    </w:pPr>
    <w:rPr>
      <w:rFonts w:ascii="Sunshine In My Soul" w:hAnsi="Sunshine In My Soul"/>
      <w:color w:val="595959" w:themeColor="text1" w:themeTint="A6"/>
      <w:sz w:val="96"/>
    </w:rPr>
  </w:style>
  <w:style w:type="paragraph" w:customStyle="1" w:styleId="WCover2">
    <w:name w:val="W_Cover 2"/>
    <w:basedOn w:val="Normal"/>
    <w:qFormat/>
    <w:rsid w:val="00770116"/>
    <w:pPr>
      <w:jc w:val="center"/>
    </w:pPr>
    <w:rPr>
      <w:b/>
      <w:color w:val="595959" w:themeColor="text1" w:themeTint="A6"/>
      <w:sz w:val="56"/>
    </w:rPr>
  </w:style>
  <w:style w:type="table" w:customStyle="1" w:styleId="Wiretable">
    <w:name w:val="Wire table"/>
    <w:basedOn w:val="TableNormal"/>
    <w:qFormat/>
    <w:rsid w:val="00A1713D"/>
    <w:rPr>
      <w:rFonts w:ascii="Congress Sans Std" w:hAnsi="Congress Sans Std"/>
      <w:b/>
      <w:sz w:val="20"/>
    </w:rPr>
    <w:tblPr>
      <w:tblInd w:w="45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CellMar>
        <w:left w:w="0" w:type="dxa"/>
        <w:right w:w="0" w:type="dxa"/>
      </w:tblCellMar>
    </w:tblPr>
    <w:tcPr>
      <w:tcMar>
        <w:top w:w="57" w:type="dxa"/>
        <w:left w:w="57" w:type="dxa"/>
        <w:bottom w:w="57" w:type="dxa"/>
        <w:right w:w="57" w:type="dxa"/>
      </w:tcMar>
    </w:tcPr>
  </w:style>
  <w:style w:type="paragraph" w:styleId="Title">
    <w:name w:val="Title"/>
    <w:basedOn w:val="Normal"/>
    <w:link w:val="TitleChar"/>
    <w:uiPriority w:val="10"/>
    <w:qFormat/>
    <w:rsid w:val="00770116"/>
    <w:pPr>
      <w:widowControl w:val="0"/>
      <w:tabs>
        <w:tab w:val="left" w:pos="720"/>
      </w:tabs>
      <w:jc w:val="both"/>
    </w:pPr>
    <w:rPr>
      <w:b/>
      <w:smallCaps/>
      <w:color w:val="000000"/>
      <w:kern w:val="28"/>
      <w:sz w:val="44"/>
      <w:lang w:val="en-US"/>
    </w:rPr>
  </w:style>
  <w:style w:type="character" w:customStyle="1" w:styleId="TitleChar">
    <w:name w:val="Title Char"/>
    <w:basedOn w:val="DefaultParagraphFont"/>
    <w:link w:val="Title"/>
    <w:uiPriority w:val="10"/>
    <w:rsid w:val="00770116"/>
    <w:rPr>
      <w:rFonts w:ascii="Quicksand" w:eastAsia="Times New Roman" w:hAnsi="Quicksand" w:cs="Times New Roman"/>
      <w:b/>
      <w:smallCaps/>
      <w:color w:val="000000"/>
      <w:kern w:val="28"/>
      <w:sz w:val="44"/>
      <w:szCs w:val="20"/>
    </w:rPr>
  </w:style>
  <w:style w:type="character" w:styleId="Hyperlink">
    <w:name w:val="Hyperlink"/>
    <w:uiPriority w:val="99"/>
    <w:rsid w:val="004D2F79"/>
    <w:rPr>
      <w:color w:val="0000FF"/>
      <w:u w:val="single"/>
    </w:rPr>
  </w:style>
  <w:style w:type="paragraph" w:styleId="TOCHeading">
    <w:name w:val="TOC Heading"/>
    <w:basedOn w:val="Heading1"/>
    <w:next w:val="Normal"/>
    <w:uiPriority w:val="39"/>
    <w:unhideWhenUsed/>
    <w:qFormat/>
    <w:rsid w:val="004D2F79"/>
    <w:pPr>
      <w:keepNext/>
      <w:keepLines/>
      <w:pageBreakBefore w:val="0"/>
      <w:suppressAutoHyphens w:val="0"/>
      <w:spacing w:before="480" w:after="0" w:line="276" w:lineRule="auto"/>
      <w:outlineLvl w:val="9"/>
    </w:pPr>
    <w:rPr>
      <w:rFonts w:ascii="Cambria" w:eastAsia="Times New Roman" w:hAnsi="Cambria"/>
      <w:bCs/>
      <w:color w:val="365F91"/>
      <w:sz w:val="28"/>
      <w:szCs w:val="28"/>
      <w:lang w:val="en-US"/>
    </w:rPr>
  </w:style>
  <w:style w:type="paragraph" w:styleId="TOC3">
    <w:name w:val="toc 3"/>
    <w:basedOn w:val="Normal"/>
    <w:next w:val="Normal"/>
    <w:autoRedefine/>
    <w:uiPriority w:val="39"/>
    <w:qFormat/>
    <w:rsid w:val="004D2F79"/>
    <w:pPr>
      <w:tabs>
        <w:tab w:val="right" w:leader="dot" w:pos="8161"/>
      </w:tabs>
      <w:ind w:firstLine="540"/>
    </w:pPr>
    <w:rPr>
      <w:noProof/>
    </w:rPr>
  </w:style>
  <w:style w:type="table" w:styleId="TableGrid">
    <w:name w:val="Table Grid"/>
    <w:basedOn w:val="TableNormal"/>
    <w:uiPriority w:val="39"/>
    <w:rsid w:val="00443D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bullet2">
    <w:name w:val="W_bullet 2"/>
    <w:basedOn w:val="Wbullet"/>
    <w:qFormat/>
    <w:rsid w:val="00770116"/>
    <w:pPr>
      <w:numPr>
        <w:numId w:val="14"/>
      </w:numPr>
    </w:pPr>
  </w:style>
  <w:style w:type="paragraph" w:styleId="TOC4">
    <w:name w:val="toc 4"/>
    <w:basedOn w:val="Normal"/>
    <w:next w:val="Normal"/>
    <w:autoRedefine/>
    <w:uiPriority w:val="39"/>
    <w:rsid w:val="00EB293A"/>
    <w:pPr>
      <w:ind w:left="720"/>
    </w:pPr>
  </w:style>
  <w:style w:type="paragraph" w:styleId="TOC5">
    <w:name w:val="toc 5"/>
    <w:basedOn w:val="Normal"/>
    <w:next w:val="Normal"/>
    <w:autoRedefine/>
    <w:uiPriority w:val="39"/>
    <w:rsid w:val="00EB293A"/>
    <w:pPr>
      <w:ind w:left="960"/>
    </w:pPr>
  </w:style>
  <w:style w:type="paragraph" w:styleId="TOC6">
    <w:name w:val="toc 6"/>
    <w:basedOn w:val="Normal"/>
    <w:next w:val="Normal"/>
    <w:autoRedefine/>
    <w:uiPriority w:val="39"/>
    <w:rsid w:val="00EB293A"/>
    <w:pPr>
      <w:ind w:left="1200"/>
    </w:pPr>
  </w:style>
  <w:style w:type="paragraph" w:styleId="TOC7">
    <w:name w:val="toc 7"/>
    <w:basedOn w:val="Normal"/>
    <w:next w:val="Normal"/>
    <w:autoRedefine/>
    <w:uiPriority w:val="39"/>
    <w:rsid w:val="00EB293A"/>
    <w:pPr>
      <w:ind w:left="1440"/>
    </w:pPr>
  </w:style>
  <w:style w:type="paragraph" w:styleId="TOC8">
    <w:name w:val="toc 8"/>
    <w:basedOn w:val="Normal"/>
    <w:next w:val="Normal"/>
    <w:autoRedefine/>
    <w:uiPriority w:val="39"/>
    <w:rsid w:val="00EB293A"/>
    <w:pPr>
      <w:ind w:left="1680"/>
    </w:pPr>
  </w:style>
  <w:style w:type="paragraph" w:styleId="TOC9">
    <w:name w:val="toc 9"/>
    <w:basedOn w:val="Normal"/>
    <w:next w:val="Normal"/>
    <w:autoRedefine/>
    <w:uiPriority w:val="39"/>
    <w:rsid w:val="00EB293A"/>
    <w:pPr>
      <w:ind w:left="1920"/>
    </w:pPr>
  </w:style>
  <w:style w:type="paragraph" w:styleId="BodyText2">
    <w:name w:val="Body Text 2"/>
    <w:basedOn w:val="Normal"/>
    <w:link w:val="BodyText2Char"/>
    <w:rsid w:val="004B4775"/>
    <w:pPr>
      <w:widowControl w:val="0"/>
      <w:overflowPunct w:val="0"/>
      <w:autoSpaceDE w:val="0"/>
      <w:autoSpaceDN w:val="0"/>
      <w:adjustRightInd w:val="0"/>
    </w:pPr>
    <w:rPr>
      <w:rFonts w:ascii="Verdana" w:hAnsi="Verdana" w:cs="Verdana"/>
      <w:bCs/>
      <w:i/>
      <w:smallCaps/>
      <w:color w:val="CCCCCC"/>
      <w:kern w:val="28"/>
      <w:sz w:val="56"/>
      <w:szCs w:val="56"/>
      <w:lang w:val="en-US"/>
    </w:rPr>
  </w:style>
  <w:style w:type="character" w:customStyle="1" w:styleId="BodyText2Char">
    <w:name w:val="Body Text 2 Char"/>
    <w:basedOn w:val="DefaultParagraphFont"/>
    <w:link w:val="BodyText2"/>
    <w:uiPriority w:val="99"/>
    <w:rsid w:val="004B4775"/>
    <w:rPr>
      <w:rFonts w:ascii="Verdana" w:eastAsia="Times New Roman" w:hAnsi="Verdana" w:cs="Verdana"/>
      <w:bCs/>
      <w:i/>
      <w:smallCaps/>
      <w:color w:val="CCCCCC"/>
      <w:kern w:val="28"/>
      <w:sz w:val="56"/>
      <w:szCs w:val="56"/>
    </w:rPr>
  </w:style>
  <w:style w:type="paragraph" w:styleId="BodyText3">
    <w:name w:val="Body Text 3"/>
    <w:basedOn w:val="Normal"/>
    <w:link w:val="BodyText3Char"/>
    <w:uiPriority w:val="99"/>
    <w:rsid w:val="004B4775"/>
    <w:pPr>
      <w:widowControl w:val="0"/>
      <w:tabs>
        <w:tab w:val="left" w:pos="420"/>
      </w:tabs>
      <w:overflowPunct w:val="0"/>
      <w:autoSpaceDE w:val="0"/>
      <w:autoSpaceDN w:val="0"/>
      <w:adjustRightInd w:val="0"/>
      <w:spacing w:line="360" w:lineRule="auto"/>
      <w:ind w:left="420" w:hanging="360"/>
      <w:jc w:val="both"/>
    </w:pPr>
    <w:rPr>
      <w:rFonts w:ascii="Verdana" w:hAnsi="Verdana" w:cs="Verdana"/>
      <w:bCs/>
      <w:i/>
      <w:smallCaps/>
      <w:kern w:val="28"/>
      <w:lang w:val="en-US"/>
    </w:rPr>
  </w:style>
  <w:style w:type="character" w:customStyle="1" w:styleId="BodyText3Char">
    <w:name w:val="Body Text 3 Char"/>
    <w:basedOn w:val="DefaultParagraphFont"/>
    <w:link w:val="BodyText3"/>
    <w:uiPriority w:val="99"/>
    <w:rsid w:val="004B4775"/>
    <w:rPr>
      <w:rFonts w:ascii="Verdana" w:eastAsia="Times New Roman" w:hAnsi="Verdana" w:cs="Verdana"/>
      <w:bCs/>
      <w:i/>
      <w:smallCaps/>
      <w:kern w:val="28"/>
      <w:sz w:val="20"/>
      <w:szCs w:val="20"/>
    </w:rPr>
  </w:style>
  <w:style w:type="paragraph" w:styleId="BalloonText">
    <w:name w:val="Balloon Text"/>
    <w:basedOn w:val="Normal"/>
    <w:link w:val="BalloonTextChar"/>
    <w:uiPriority w:val="99"/>
    <w:unhideWhenUsed/>
    <w:rsid w:val="004B4775"/>
    <w:pPr>
      <w:widowControl w:val="0"/>
      <w:overflowPunct w:val="0"/>
      <w:autoSpaceDE w:val="0"/>
      <w:autoSpaceDN w:val="0"/>
      <w:adjustRightInd w:val="0"/>
    </w:pPr>
    <w:rPr>
      <w:rFonts w:ascii="Tahoma" w:hAnsi="Tahoma" w:cs="Tahoma"/>
      <w:color w:val="000000"/>
      <w:kern w:val="28"/>
      <w:sz w:val="16"/>
      <w:szCs w:val="16"/>
      <w:lang w:val="en-US"/>
    </w:rPr>
  </w:style>
  <w:style w:type="character" w:customStyle="1" w:styleId="BalloonTextChar">
    <w:name w:val="Balloon Text Char"/>
    <w:basedOn w:val="DefaultParagraphFont"/>
    <w:link w:val="BalloonText"/>
    <w:uiPriority w:val="99"/>
    <w:rsid w:val="004B4775"/>
    <w:rPr>
      <w:rFonts w:ascii="Tahoma" w:eastAsia="Times New Roman" w:hAnsi="Tahoma" w:cs="Tahoma"/>
      <w:color w:val="000000"/>
      <w:kern w:val="28"/>
      <w:sz w:val="16"/>
      <w:szCs w:val="16"/>
    </w:rPr>
  </w:style>
  <w:style w:type="paragraph" w:styleId="NoSpacing">
    <w:name w:val="No Spacing"/>
    <w:link w:val="NoSpacingChar"/>
    <w:uiPriority w:val="1"/>
    <w:qFormat/>
    <w:rsid w:val="004B4775"/>
    <w:rPr>
      <w:rFonts w:ascii="Calibri" w:eastAsia="Times New Roman" w:hAnsi="Calibri" w:cs="Times New Roman"/>
      <w:sz w:val="22"/>
      <w:szCs w:val="22"/>
    </w:rPr>
  </w:style>
  <w:style w:type="character" w:customStyle="1" w:styleId="NoSpacingChar">
    <w:name w:val="No Spacing Char"/>
    <w:link w:val="NoSpacing"/>
    <w:uiPriority w:val="1"/>
    <w:rsid w:val="004B4775"/>
    <w:rPr>
      <w:rFonts w:ascii="Calibri" w:eastAsia="Times New Roman" w:hAnsi="Calibri" w:cs="Times New Roman"/>
      <w:sz w:val="22"/>
      <w:szCs w:val="22"/>
    </w:rPr>
  </w:style>
  <w:style w:type="paragraph" w:styleId="Subtitle">
    <w:name w:val="Subtitle"/>
    <w:basedOn w:val="Normal"/>
    <w:next w:val="Normal"/>
    <w:link w:val="SubtitleChar"/>
    <w:uiPriority w:val="11"/>
    <w:qFormat/>
    <w:rsid w:val="00770116"/>
    <w:pPr>
      <w:widowControl w:val="0"/>
      <w:overflowPunct w:val="0"/>
      <w:autoSpaceDE w:val="0"/>
      <w:autoSpaceDN w:val="0"/>
      <w:adjustRightInd w:val="0"/>
      <w:spacing w:after="60"/>
      <w:jc w:val="center"/>
      <w:outlineLvl w:val="1"/>
    </w:pPr>
    <w:rPr>
      <w:i/>
      <w:color w:val="000000"/>
      <w:kern w:val="28"/>
      <w:sz w:val="32"/>
      <w:szCs w:val="24"/>
      <w:lang w:val="en-US"/>
    </w:rPr>
  </w:style>
  <w:style w:type="character" w:customStyle="1" w:styleId="SubtitleChar">
    <w:name w:val="Subtitle Char"/>
    <w:basedOn w:val="DefaultParagraphFont"/>
    <w:link w:val="Subtitle"/>
    <w:uiPriority w:val="11"/>
    <w:rsid w:val="00770116"/>
    <w:rPr>
      <w:rFonts w:ascii="Quicksand" w:eastAsia="Times New Roman" w:hAnsi="Quicksand" w:cs="Times New Roman"/>
      <w:i/>
      <w:color w:val="000000"/>
      <w:kern w:val="28"/>
      <w:sz w:val="32"/>
    </w:rPr>
  </w:style>
  <w:style w:type="character" w:styleId="SubtleEmphasis">
    <w:name w:val="Subtle Emphasis"/>
    <w:uiPriority w:val="19"/>
    <w:qFormat/>
    <w:rsid w:val="00770116"/>
    <w:rPr>
      <w:rFonts w:ascii="Quicksand" w:hAnsi="Quicksand"/>
      <w:i/>
      <w:iCs/>
      <w:color w:val="808080"/>
    </w:rPr>
  </w:style>
  <w:style w:type="character" w:styleId="Emphasis">
    <w:name w:val="Emphasis"/>
    <w:uiPriority w:val="20"/>
    <w:qFormat/>
    <w:rsid w:val="004B4775"/>
    <w:rPr>
      <w:i/>
      <w:iCs/>
    </w:rPr>
  </w:style>
  <w:style w:type="paragraph" w:styleId="IntenseQuote">
    <w:name w:val="Intense Quote"/>
    <w:basedOn w:val="Normal"/>
    <w:next w:val="Normal"/>
    <w:link w:val="IntenseQuoteChar"/>
    <w:uiPriority w:val="30"/>
    <w:qFormat/>
    <w:rsid w:val="004B4775"/>
    <w:pPr>
      <w:widowControl w:val="0"/>
      <w:pBdr>
        <w:bottom w:val="single" w:sz="4" w:space="4" w:color="4F81BD"/>
      </w:pBdr>
      <w:overflowPunct w:val="0"/>
      <w:autoSpaceDE w:val="0"/>
      <w:autoSpaceDN w:val="0"/>
      <w:adjustRightInd w:val="0"/>
      <w:spacing w:before="200" w:after="280"/>
      <w:ind w:left="936" w:right="936"/>
    </w:pPr>
    <w:rPr>
      <w:b/>
      <w:bCs/>
      <w:i/>
      <w:iCs/>
      <w:color w:val="4F81BD"/>
      <w:kern w:val="28"/>
      <w:lang w:val="en-US"/>
    </w:rPr>
  </w:style>
  <w:style w:type="character" w:customStyle="1" w:styleId="IntenseQuoteChar">
    <w:name w:val="Intense Quote Char"/>
    <w:basedOn w:val="DefaultParagraphFont"/>
    <w:link w:val="IntenseQuote"/>
    <w:uiPriority w:val="30"/>
    <w:rsid w:val="004B4775"/>
    <w:rPr>
      <w:rFonts w:ascii="Times New Roman" w:eastAsia="Times New Roman" w:hAnsi="Times New Roman" w:cs="Times New Roman"/>
      <w:b/>
      <w:bCs/>
      <w:i/>
      <w:iCs/>
      <w:color w:val="4F81BD"/>
      <w:kern w:val="28"/>
      <w:sz w:val="20"/>
      <w:szCs w:val="20"/>
    </w:rPr>
  </w:style>
  <w:style w:type="character" w:styleId="IntenseReference">
    <w:name w:val="Intense Reference"/>
    <w:uiPriority w:val="32"/>
    <w:qFormat/>
    <w:rsid w:val="004B4775"/>
    <w:rPr>
      <w:b/>
      <w:bCs/>
      <w:smallCaps/>
      <w:color w:val="C0504D"/>
      <w:spacing w:val="5"/>
      <w:u w:val="single"/>
    </w:rPr>
  </w:style>
  <w:style w:type="character" w:styleId="SubtleReference">
    <w:name w:val="Subtle Reference"/>
    <w:uiPriority w:val="31"/>
    <w:qFormat/>
    <w:rsid w:val="004B4775"/>
    <w:rPr>
      <w:smallCaps/>
      <w:color w:val="C0504D"/>
      <w:u w:val="single"/>
    </w:rPr>
  </w:style>
  <w:style w:type="paragraph" w:styleId="Quote">
    <w:name w:val="Quote"/>
    <w:basedOn w:val="Normal"/>
    <w:next w:val="Normal"/>
    <w:link w:val="QuoteChar"/>
    <w:uiPriority w:val="29"/>
    <w:qFormat/>
    <w:rsid w:val="004B4775"/>
    <w:pPr>
      <w:widowControl w:val="0"/>
      <w:overflowPunct w:val="0"/>
      <w:autoSpaceDE w:val="0"/>
      <w:autoSpaceDN w:val="0"/>
      <w:adjustRightInd w:val="0"/>
    </w:pPr>
    <w:rPr>
      <w:i/>
      <w:iCs/>
      <w:color w:val="000000"/>
      <w:kern w:val="28"/>
      <w:lang w:val="en-US"/>
    </w:rPr>
  </w:style>
  <w:style w:type="character" w:customStyle="1" w:styleId="QuoteChar">
    <w:name w:val="Quote Char"/>
    <w:basedOn w:val="DefaultParagraphFont"/>
    <w:link w:val="Quote"/>
    <w:uiPriority w:val="29"/>
    <w:rsid w:val="004B4775"/>
    <w:rPr>
      <w:rFonts w:ascii="Times New Roman" w:eastAsia="Times New Roman" w:hAnsi="Times New Roman" w:cs="Times New Roman"/>
      <w:i/>
      <w:iCs/>
      <w:color w:val="000000"/>
      <w:kern w:val="28"/>
      <w:sz w:val="20"/>
      <w:szCs w:val="20"/>
    </w:rPr>
  </w:style>
  <w:style w:type="character" w:styleId="IntenseEmphasis">
    <w:name w:val="Intense Emphasis"/>
    <w:uiPriority w:val="21"/>
    <w:qFormat/>
    <w:rsid w:val="004B4775"/>
    <w:rPr>
      <w:b/>
      <w:bCs/>
      <w:i/>
      <w:iCs/>
      <w:color w:val="4F81BD"/>
    </w:rPr>
  </w:style>
  <w:style w:type="character" w:styleId="Strong">
    <w:name w:val="Strong"/>
    <w:uiPriority w:val="22"/>
    <w:qFormat/>
    <w:rsid w:val="004B4775"/>
    <w:rPr>
      <w:b/>
      <w:bCs/>
    </w:rPr>
  </w:style>
  <w:style w:type="paragraph" w:customStyle="1" w:styleId="Wtabletext">
    <w:name w:val="W_table text"/>
    <w:basedOn w:val="WTabletextbold"/>
    <w:qFormat/>
    <w:rsid w:val="007B4823"/>
    <w:rPr>
      <w:b w:val="0"/>
      <w:caps/>
      <w:sz w:val="72"/>
    </w:rPr>
  </w:style>
  <w:style w:type="paragraph" w:customStyle="1" w:styleId="Wlettertext">
    <w:name w:val="W_letter text"/>
    <w:qFormat/>
    <w:rsid w:val="00770116"/>
    <w:pPr>
      <w:spacing w:after="120" w:line="260" w:lineRule="exact"/>
    </w:pPr>
    <w:rPr>
      <w:rFonts w:ascii="Quicksand" w:eastAsia="Calibri" w:hAnsi="Quicksand" w:cs="Times New Roman"/>
      <w:noProof/>
      <w:sz w:val="20"/>
      <w:szCs w:val="22"/>
    </w:rPr>
  </w:style>
  <w:style w:type="paragraph" w:customStyle="1" w:styleId="Wletteraddress">
    <w:name w:val="W_letter address"/>
    <w:basedOn w:val="Wlettertext"/>
    <w:qFormat/>
    <w:rsid w:val="00770116"/>
    <w:pPr>
      <w:spacing w:after="0"/>
    </w:pPr>
  </w:style>
  <w:style w:type="paragraph" w:customStyle="1" w:styleId="Wlettersubject">
    <w:name w:val="W_letter subject"/>
    <w:basedOn w:val="Wlettertext"/>
    <w:qFormat/>
    <w:rsid w:val="00CE01E1"/>
    <w:pPr>
      <w:spacing w:before="600" w:after="360"/>
    </w:pPr>
    <w:rPr>
      <w:rFonts w:ascii="Congress Sans Std" w:hAnsi="Congress Sans Std"/>
      <w:b/>
    </w:rPr>
  </w:style>
  <w:style w:type="paragraph" w:customStyle="1" w:styleId="Wletterbullet">
    <w:name w:val="W_letter bullet"/>
    <w:basedOn w:val="Wlettertext"/>
    <w:qFormat/>
    <w:rsid w:val="00770116"/>
    <w:pPr>
      <w:numPr>
        <w:numId w:val="6"/>
      </w:numPr>
      <w:contextualSpacing/>
    </w:pPr>
  </w:style>
  <w:style w:type="paragraph" w:customStyle="1" w:styleId="Wletterheading">
    <w:name w:val="W_letter heading"/>
    <w:basedOn w:val="Wlettersubject"/>
    <w:qFormat/>
    <w:rsid w:val="00B36EFB"/>
    <w:pPr>
      <w:spacing w:before="240" w:after="120"/>
    </w:pPr>
  </w:style>
  <w:style w:type="character" w:customStyle="1" w:styleId="ListParagraphChar">
    <w:name w:val="List Paragraph Char"/>
    <w:aliases w:val="NFP GP Bulleted List Char,P3Numbered List Char,CRP Numbered List Char,List Paragraph (numbered (a)) Char,List Paragraph1 Char,List Paragraph11 Char,L Char,Recommendation Char,CV text Char,Table text Char,COOP Char,Dot pt Char"/>
    <w:link w:val="ListParagraph"/>
    <w:uiPriority w:val="34"/>
    <w:qFormat/>
    <w:locked/>
    <w:rsid w:val="002C741A"/>
    <w:rPr>
      <w:rFonts w:ascii="Quicksand" w:eastAsia="Times New Roman" w:hAnsi="Quicksand" w:cs="Times New Roman"/>
      <w:sz w:val="20"/>
      <w:szCs w:val="20"/>
      <w:lang w:val="en-AU"/>
    </w:rPr>
  </w:style>
  <w:style w:type="paragraph" w:customStyle="1" w:styleId="Default">
    <w:name w:val="Default"/>
    <w:rsid w:val="002C741A"/>
    <w:pPr>
      <w:autoSpaceDE w:val="0"/>
      <w:autoSpaceDN w:val="0"/>
      <w:adjustRightInd w:val="0"/>
    </w:pPr>
    <w:rPr>
      <w:rFonts w:ascii="Arial" w:hAnsi="Arial" w:cs="Arial"/>
      <w:color w:val="000000"/>
      <w:lang w:val="en-AU"/>
    </w:rPr>
  </w:style>
  <w:style w:type="character" w:styleId="CommentReference">
    <w:name w:val="annotation reference"/>
    <w:basedOn w:val="DefaultParagraphFont"/>
    <w:uiPriority w:val="99"/>
    <w:semiHidden/>
    <w:unhideWhenUsed/>
    <w:rsid w:val="002C741A"/>
    <w:rPr>
      <w:sz w:val="16"/>
      <w:szCs w:val="16"/>
    </w:rPr>
  </w:style>
  <w:style w:type="paragraph" w:styleId="CommentText">
    <w:name w:val="annotation text"/>
    <w:basedOn w:val="Normal"/>
    <w:link w:val="CommentTextChar"/>
    <w:uiPriority w:val="99"/>
    <w:unhideWhenUsed/>
    <w:rsid w:val="002C741A"/>
    <w:pPr>
      <w:spacing w:after="160"/>
    </w:pPr>
    <w:rPr>
      <w:rFonts w:eastAsiaTheme="minorHAnsi" w:cstheme="minorBidi"/>
      <w:sz w:val="20"/>
      <w:szCs w:val="20"/>
      <w:lang w:val="en-AU"/>
    </w:rPr>
  </w:style>
  <w:style w:type="character" w:customStyle="1" w:styleId="CommentTextChar">
    <w:name w:val="Comment Text Char"/>
    <w:basedOn w:val="DefaultParagraphFont"/>
    <w:link w:val="CommentText"/>
    <w:uiPriority w:val="99"/>
    <w:rsid w:val="002C741A"/>
    <w:rPr>
      <w:sz w:val="20"/>
      <w:szCs w:val="20"/>
      <w:lang w:val="en-AU"/>
    </w:rPr>
  </w:style>
  <w:style w:type="table" w:customStyle="1" w:styleId="TableGrid1">
    <w:name w:val="Table Grid1"/>
    <w:basedOn w:val="TableNormal"/>
    <w:next w:val="TableGrid"/>
    <w:uiPriority w:val="39"/>
    <w:rsid w:val="002C741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741A"/>
    <w:pPr>
      <w:spacing w:after="0"/>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semiHidden/>
    <w:rsid w:val="002C741A"/>
    <w:rPr>
      <w:sz w:val="20"/>
      <w:szCs w:val="20"/>
      <w:lang w:val="en-AU"/>
    </w:rPr>
  </w:style>
  <w:style w:type="character" w:styleId="FootnoteReference">
    <w:name w:val="footnote reference"/>
    <w:basedOn w:val="DefaultParagraphFont"/>
    <w:uiPriority w:val="99"/>
    <w:semiHidden/>
    <w:unhideWhenUsed/>
    <w:rsid w:val="002C741A"/>
    <w:rPr>
      <w:vertAlign w:val="superscript"/>
    </w:rPr>
  </w:style>
  <w:style w:type="paragraph" w:customStyle="1" w:styleId="EndNoteBibliography">
    <w:name w:val="EndNote Bibliography"/>
    <w:basedOn w:val="Normal"/>
    <w:link w:val="EndNoteBibliographyChar"/>
    <w:rsid w:val="002C741A"/>
    <w:rPr>
      <w:rFonts w:ascii="Arial" w:eastAsiaTheme="minorHAnsi" w:hAnsi="Arial" w:cs="Arial"/>
      <w:noProof/>
      <w:lang w:val="en-US"/>
    </w:rPr>
  </w:style>
  <w:style w:type="character" w:customStyle="1" w:styleId="EndNoteBibliographyChar">
    <w:name w:val="EndNote Bibliography Char"/>
    <w:basedOn w:val="DefaultParagraphFont"/>
    <w:link w:val="EndNoteBibliography"/>
    <w:rsid w:val="002C741A"/>
    <w:rPr>
      <w:rFonts w:ascii="Arial" w:hAnsi="Arial" w:cs="Arial"/>
      <w:noProof/>
      <w:szCs w:val="22"/>
    </w:rPr>
  </w:style>
  <w:style w:type="paragraph" w:styleId="CommentSubject">
    <w:name w:val="annotation subject"/>
    <w:basedOn w:val="CommentText"/>
    <w:next w:val="CommentText"/>
    <w:link w:val="CommentSubjectChar"/>
    <w:semiHidden/>
    <w:unhideWhenUsed/>
    <w:rsid w:val="00E66F63"/>
    <w:pPr>
      <w:spacing w:after="200"/>
    </w:pPr>
    <w:rPr>
      <w:rFonts w:eastAsia="Calibri" w:cs="Times New Roman"/>
      <w:b/>
      <w:bCs/>
      <w:lang w:val="en-GB"/>
    </w:rPr>
  </w:style>
  <w:style w:type="character" w:customStyle="1" w:styleId="CommentSubjectChar">
    <w:name w:val="Comment Subject Char"/>
    <w:basedOn w:val="CommentTextChar"/>
    <w:link w:val="CommentSubject"/>
    <w:semiHidden/>
    <w:rsid w:val="00E66F63"/>
    <w:rPr>
      <w:rFonts w:ascii="Quicksand" w:eastAsia="Calibri" w:hAnsi="Quicksand" w:cs="Times New Roman"/>
      <w:b/>
      <w:bCs/>
      <w:sz w:val="20"/>
      <w:szCs w:val="20"/>
      <w:lang w:val="en-GB"/>
    </w:rPr>
  </w:style>
  <w:style w:type="paragraph" w:styleId="Revision">
    <w:name w:val="Revision"/>
    <w:hidden/>
    <w:semiHidden/>
    <w:rsid w:val="00E81B6B"/>
    <w:rPr>
      <w:rFonts w:ascii="Quicksand" w:eastAsia="Calibri" w:hAnsi="Quicksand" w:cs="Times New Roman"/>
      <w:sz w:val="22"/>
      <w:szCs w:val="22"/>
      <w:lang w:val="en-GB"/>
    </w:rPr>
  </w:style>
  <w:style w:type="paragraph" w:styleId="Caption">
    <w:name w:val="caption"/>
    <w:basedOn w:val="Normal"/>
    <w:next w:val="Normal"/>
    <w:uiPriority w:val="35"/>
    <w:unhideWhenUsed/>
    <w:qFormat/>
    <w:rsid w:val="00271D3A"/>
    <w:rPr>
      <w:rFonts w:ascii="Arial" w:eastAsiaTheme="minorHAnsi" w:hAnsi="Arial" w:cs="Arial"/>
      <w:i/>
      <w:iCs/>
      <w:color w:val="1F497D" w:themeColor="text2"/>
      <w:sz w:val="24"/>
      <w:szCs w:val="18"/>
    </w:rPr>
  </w:style>
  <w:style w:type="character" w:styleId="FollowedHyperlink">
    <w:name w:val="FollowedHyperlink"/>
    <w:basedOn w:val="DefaultParagraphFont"/>
    <w:semiHidden/>
    <w:unhideWhenUsed/>
    <w:rsid w:val="00D76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328">
      <w:bodyDiv w:val="1"/>
      <w:marLeft w:val="0"/>
      <w:marRight w:val="0"/>
      <w:marTop w:val="0"/>
      <w:marBottom w:val="0"/>
      <w:divBdr>
        <w:top w:val="none" w:sz="0" w:space="0" w:color="auto"/>
        <w:left w:val="none" w:sz="0" w:space="0" w:color="auto"/>
        <w:bottom w:val="none" w:sz="0" w:space="0" w:color="auto"/>
        <w:right w:val="none" w:sz="0" w:space="0" w:color="auto"/>
      </w:divBdr>
    </w:div>
    <w:div w:id="1772702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VDC1\Company\Research%20&amp;%20Projects\Financial%20Capability%20Project%20-%20FCP\Knowledge%20paper\Edited%20KP%20for%20ASIC%20resource\cconnolly@wire.org.au" TargetMode="External"/><Relationship Id="rId13" Type="http://schemas.openxmlformats.org/officeDocument/2006/relationships/footer" Target="footer2.xml"/><Relationship Id="rId18" Type="http://schemas.openxmlformats.org/officeDocument/2006/relationships/hyperlink" Target="mailto:cconnolly@wire.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Visio_Drawing111111111111.vsd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onnolly@wire.org.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firstnationsfoundation.org.au/wp-content/uploads/2020/01/full_report_2019.pdf" TargetMode="External"/><Relationship Id="rId2" Type="http://schemas.openxmlformats.org/officeDocument/2006/relationships/hyperlink" Target="https://www.theguardian.com/commentisfree/2012/nov/28/government-position-domestic-violence-hypocritical" TargetMode="External"/><Relationship Id="rId1" Type="http://schemas.openxmlformats.org/officeDocument/2006/relationships/hyperlink" Target="http://finlit.org.au/wp-content/uploads/sites/15/2018/08/MoneyWoman-AManagingBungooProjectEvaluation2018.pdf" TargetMode="External"/><Relationship Id="rId6" Type="http://schemas.openxmlformats.org/officeDocument/2006/relationships/hyperlink" Target="https://minerva-access.unimelb.edu.au/handle/11343/129803%20%20" TargetMode="External"/><Relationship Id="rId5" Type="http://schemas.openxmlformats.org/officeDocument/2006/relationships/hyperlink" Target="http://www.csi.edu.au/media/NAB_IFR_FINAL_May_2019_web.pdf" TargetMode="External"/><Relationship Id="rId4" Type="http://schemas.openxmlformats.org/officeDocument/2006/relationships/hyperlink" Target="http://www.aihw.gov.au/getmedia/d1a8d479-a39a-48c1-bbe2-4b27c7a321e0/aihw-fdv-02.pdf.aspx?inline=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ations\WIRE%20Templates,%20images%20and%20logos\WIRE%20Letterhead%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C5BD-75CC-443E-928E-1D0BDC71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WIRE Letterhead Template 2018</Template>
  <TotalTime>2</TotalTime>
  <Pages>20</Pages>
  <Words>6081</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40668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Connolly</dc:creator>
  <cp:lastModifiedBy>Catherine Connolly</cp:lastModifiedBy>
  <cp:revision>3</cp:revision>
  <cp:lastPrinted>2020-06-11T04:13:00Z</cp:lastPrinted>
  <dcterms:created xsi:type="dcterms:W3CDTF">2020-06-12T02:13:00Z</dcterms:created>
  <dcterms:modified xsi:type="dcterms:W3CDTF">2020-06-16T05:54:00Z</dcterms:modified>
</cp:coreProperties>
</file>